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28"/>
          <w:szCs w:val="21"/>
        </w:rPr>
        <w:t>美国加州大学</w:t>
      </w:r>
      <w:r>
        <w:rPr>
          <w:rFonts w:hint="eastAsia" w:asciiTheme="minorHAnsi" w:hAnsiTheme="minorHAnsi" w:eastAsiaTheme="majorEastAsia" w:cstheme="minorHAnsi"/>
          <w:b/>
          <w:kern w:val="0"/>
          <w:sz w:val="28"/>
          <w:szCs w:val="21"/>
        </w:rPr>
        <w:t>圣地亚哥</w:t>
      </w:r>
      <w:r>
        <w:rPr>
          <w:rFonts w:asciiTheme="minorHAnsi" w:hAnsiTheme="minorHAnsi" w:eastAsiaTheme="majorEastAsia" w:cstheme="minorHAnsi"/>
          <w:b/>
          <w:kern w:val="0"/>
          <w:sz w:val="28"/>
          <w:szCs w:val="21"/>
        </w:rPr>
        <w:t>分校</w:t>
      </w:r>
      <w:r>
        <w:rPr>
          <w:rFonts w:hint="eastAsia" w:asciiTheme="minorHAnsi" w:hAnsiTheme="minorHAnsi" w:eastAsiaTheme="majorEastAsia" w:cstheme="minorHAnsi"/>
          <w:b/>
          <w:kern w:val="0"/>
          <w:sz w:val="28"/>
          <w:szCs w:val="21"/>
        </w:rPr>
        <w:t xml:space="preserve"> </w:t>
      </w:r>
    </w:p>
    <w:p>
      <w:pPr>
        <w:widowControl/>
        <w:spacing w:line="360" w:lineRule="auto"/>
        <w:jc w:val="center"/>
        <w:rPr>
          <w:rFonts w:asciiTheme="minorHAnsi" w:hAnsiTheme="minorHAnsi" w:eastAsiaTheme="majorEastAsia" w:cstheme="minorHAnsi"/>
          <w:b/>
          <w:kern w:val="0"/>
          <w:sz w:val="28"/>
          <w:szCs w:val="21"/>
        </w:rPr>
      </w:pPr>
      <w:r>
        <w:rPr>
          <w:rFonts w:asciiTheme="minorHAnsi" w:hAnsiTheme="minorHAnsi" w:eastAsiaTheme="majorEastAsia" w:cstheme="minorHAnsi"/>
          <w:b/>
          <w:kern w:val="0"/>
          <w:sz w:val="28"/>
          <w:szCs w:val="21"/>
        </w:rPr>
        <w:t>访学</w:t>
      </w:r>
      <w:r>
        <w:rPr>
          <w:rFonts w:hint="eastAsia" w:asciiTheme="minorHAnsi" w:hAnsiTheme="minorHAnsi" w:eastAsiaTheme="majorEastAsia" w:cstheme="minorHAnsi"/>
          <w:b/>
          <w:kern w:val="0"/>
          <w:sz w:val="28"/>
          <w:szCs w:val="21"/>
        </w:rPr>
        <w:t>项目</w:t>
      </w:r>
      <w:r>
        <w:rPr>
          <w:rFonts w:asciiTheme="minorHAnsi" w:hAnsiTheme="minorHAnsi" w:eastAsiaTheme="majorEastAsia" w:cstheme="minorHAnsi"/>
          <w:b/>
          <w:kern w:val="0"/>
          <w:sz w:val="28"/>
          <w:szCs w:val="21"/>
        </w:rPr>
        <w:t>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ascii="Calibri" w:hAnsi="Calibri" w:cs="Calibri"/>
          <w:kern w:val="0"/>
          <w:szCs w:val="21"/>
        </w:rPr>
        <w:t>201</w:t>
      </w:r>
      <w:r>
        <w:rPr>
          <w:rFonts w:hint="eastAsia" w:ascii="Calibri" w:hAnsi="Calibri" w:cs="Calibri"/>
          <w:kern w:val="0"/>
          <w:szCs w:val="21"/>
        </w:rPr>
        <w:t>9</w:t>
      </w:r>
      <w:r>
        <w:rPr>
          <w:rFonts w:ascii="Calibri" w:hAnsi="Calibri" w:cs="Calibri"/>
          <w:kern w:val="0"/>
          <w:szCs w:val="21"/>
        </w:rPr>
        <w:t>年</w:t>
      </w:r>
      <w:r>
        <w:rPr>
          <w:rFonts w:hint="eastAsia" w:ascii="Calibri" w:hAnsi="Calibri" w:cs="Calibri"/>
          <w:kern w:val="0"/>
          <w:szCs w:val="21"/>
        </w:rPr>
        <w:t>春</w:t>
      </w:r>
      <w:r>
        <w:rPr>
          <w:rFonts w:ascii="Calibri" w:hAnsi="Calibri" w:cs="Calibri"/>
          <w:kern w:val="0"/>
          <w:szCs w:val="21"/>
        </w:rPr>
        <w:t>季</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asciiTheme="minorHAnsi" w:hAnsiTheme="minorHAnsi" w:eastAsiaTheme="majorEastAsia" w:cstheme="minorHAnsi"/>
          <w:szCs w:val="21"/>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1584960</wp:posOffset>
            </wp:positionV>
            <wp:extent cx="5276850" cy="21717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6850" cy="2171700"/>
                    </a:xfrm>
                    <a:prstGeom prst="rect">
                      <a:avLst/>
                    </a:prstGeom>
                  </pic:spPr>
                </pic:pic>
              </a:graphicData>
            </a:graphic>
          </wp:anchor>
        </w:drawing>
      </w:r>
      <w:r>
        <w:rPr>
          <w:rFonts w:asciiTheme="minorHAnsi" w:hAnsiTheme="minorHAnsi" w:eastAsiaTheme="majorEastAsia" w:cstheme="minorHAnsi"/>
          <w:kern w:val="0"/>
          <w:szCs w:val="21"/>
        </w:rPr>
        <w:t>依据我校发展国际化教育的方针和校际合作协议，</w:t>
      </w:r>
      <w:r>
        <w:rPr>
          <w:rFonts w:hint="eastAsia" w:asciiTheme="minorHAnsi" w:hAnsiTheme="minorHAnsi" w:eastAsiaTheme="majorEastAsia" w:cstheme="minorHAns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9</w:t>
      </w:r>
      <w:r>
        <w:rPr>
          <w:rFonts w:ascii="Calibri" w:hAnsi="Calibri" w:cs="Calibri"/>
          <w:kern w:val="0"/>
          <w:szCs w:val="21"/>
        </w:rPr>
        <w:t>年</w:t>
      </w:r>
      <w:r>
        <w:rPr>
          <w:rFonts w:hint="eastAsia" w:ascii="Calibri" w:hAnsi="Calibri" w:cs="Calibri"/>
          <w:kern w:val="0"/>
          <w:szCs w:val="21"/>
        </w:rPr>
        <w:t>春</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w:t>
      </w:r>
      <w:r>
        <w:rPr>
          <w:rFonts w:hint="eastAsia" w:ascii="Calibri" w:hAnsi="Calibri" w:cs="Calibri"/>
          <w:b/>
          <w:szCs w:val="21"/>
        </w:rPr>
        <w:t>圣地亚哥</w:t>
      </w:r>
      <w:r>
        <w:rPr>
          <w:rFonts w:ascii="Calibri" w:hAnsi="Calibri" w:cs="Calibri"/>
          <w:b/>
          <w:szCs w:val="21"/>
        </w:rPr>
        <w:t>分校</w:t>
      </w:r>
      <w:r>
        <w:rPr>
          <w:rFonts w:hint="eastAsia" w:ascii="Calibri" w:hAnsi="Calibri" w:cs="Calibri"/>
          <w:b/>
          <w:bCs/>
          <w:kern w:val="0"/>
          <w:szCs w:val="21"/>
        </w:rPr>
        <w:t>（University of California, San Diego，简称UCSD）</w:t>
      </w:r>
      <w:r>
        <w:rPr>
          <w:rFonts w:hint="eastAsia" w:ascii="Calibri" w:hAnsi="Calibri" w:cs="Calibri"/>
          <w:szCs w:val="21"/>
        </w:rPr>
        <w:t>，参加为期一学期的</w:t>
      </w:r>
      <w:r>
        <w:rPr>
          <w:rFonts w:ascii="Calibri" w:hAnsi="Calibri" w:cs="Calibri"/>
          <w:szCs w:val="21"/>
        </w:rPr>
        <w:t>访问学习</w:t>
      </w:r>
      <w:r>
        <w:rPr>
          <w:rFonts w:hint="eastAsia" w:ascii="Calibri" w:hAnsi="Calibri" w:cs="Calibri"/>
          <w:szCs w:val="21"/>
        </w:rPr>
        <w:t>。</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加州大学圣地亚哥分校简介</w:t>
      </w:r>
    </w:p>
    <w:p>
      <w:pPr>
        <w:pStyle w:val="16"/>
        <w:widowControl/>
        <w:numPr>
          <w:ilvl w:val="0"/>
          <w:numId w:val="2"/>
        </w:numPr>
        <w:spacing w:line="360" w:lineRule="auto"/>
        <w:ind w:firstLineChars="0"/>
        <w:jc w:val="left"/>
        <w:rPr>
          <w:rFonts w:asciiTheme="minorHAnsi" w:hAnsiTheme="minorHAnsi" w:eastAsiaTheme="majorEastAsia" w:cstheme="minorHAnsi"/>
          <w:szCs w:val="21"/>
        </w:rPr>
      </w:pPr>
      <w:r>
        <w:rPr>
          <w:rFonts w:hint="eastAsia" w:asciiTheme="minorHAnsi" w:hAnsiTheme="minorHAnsi" w:cstheme="minorHAnsi"/>
          <w:kern w:val="0"/>
          <w:szCs w:val="21"/>
        </w:rPr>
        <w:t>世界级</w:t>
      </w:r>
      <w:r>
        <w:rPr>
          <w:rFonts w:asciiTheme="minorHAnsi" w:hAnsiTheme="minorHAnsi" w:cstheme="minorHAnsi"/>
          <w:kern w:val="0"/>
          <w:szCs w:val="21"/>
        </w:rPr>
        <w:t>公立研究型大学，加州大学系统十大分校之一</w:t>
      </w:r>
      <w:r>
        <w:rPr>
          <w:rFonts w:hint="eastAsia" w:asciiTheme="minorHAnsi" w:hAnsiTheme="minorHAnsi" w:cstheme="minorHAnsi"/>
          <w:kern w:val="0"/>
          <w:szCs w:val="21"/>
        </w:rPr>
        <w:t>；</w:t>
      </w:r>
    </w:p>
    <w:p>
      <w:pPr>
        <w:pStyle w:val="16"/>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eastAsiaTheme="majorEastAsia" w:cstheme="minorHAnsi"/>
          <w:szCs w:val="21"/>
        </w:rPr>
        <w:t>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w:t>
      </w:r>
      <w:r>
        <w:rPr>
          <w:rFonts w:asciiTheme="minorHAnsi" w:hAnsiTheme="minorHAnsi" w:eastAsiaTheme="majorEastAsia" w:cstheme="minorHAnsi"/>
          <w:szCs w:val="21"/>
        </w:rPr>
        <w:t>全美公立大学中排名第</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、全美4000多所高校综合排名第</w:t>
      </w:r>
      <w:r>
        <w:rPr>
          <w:rFonts w:hint="eastAsia" w:asciiTheme="minorHAnsi" w:hAnsiTheme="minorHAnsi" w:eastAsiaTheme="majorEastAsia" w:cstheme="minorHAnsi"/>
          <w:szCs w:val="21"/>
        </w:rPr>
        <w:t>42</w:t>
      </w:r>
      <w:r>
        <w:rPr>
          <w:rFonts w:asciiTheme="minorHAnsi" w:hAnsiTheme="minorHAnsi" w:eastAsiaTheme="majorEastAsia" w:cstheme="minorHAnsi"/>
          <w:szCs w:val="21"/>
        </w:rPr>
        <w:t>；</w:t>
      </w:r>
      <w:r>
        <w:rPr>
          <w:rFonts w:asciiTheme="minorHAnsi" w:hAnsiTheme="minorHAnsi" w:cstheme="minorHAnsi"/>
          <w:szCs w:val="21"/>
        </w:rPr>
        <w:t>201</w:t>
      </w:r>
      <w:r>
        <w:rPr>
          <w:rFonts w:hint="eastAsia" w:asciiTheme="minorHAnsi" w:hAnsiTheme="minorHAnsi" w:cstheme="minorHAnsi"/>
          <w:szCs w:val="21"/>
        </w:rPr>
        <w:t>8年</w:t>
      </w:r>
      <w:r>
        <w:rPr>
          <w:rFonts w:asciiTheme="minorHAnsi" w:hAnsiTheme="minorHAnsi" w:cstheme="minorHAnsi"/>
          <w:szCs w:val="21"/>
        </w:rPr>
        <w:t>Times世界大学排名第</w:t>
      </w:r>
      <w:r>
        <w:rPr>
          <w:rFonts w:hint="eastAsia" w:asciiTheme="minorHAnsi" w:hAnsiTheme="minorHAnsi" w:eastAsiaTheme="majorEastAsia" w:cstheme="minorHAnsi"/>
          <w:szCs w:val="21"/>
        </w:rPr>
        <w:t>31；2017</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全球高校学术排名第</w:t>
      </w:r>
      <w:r>
        <w:rPr>
          <w:rFonts w:hint="eastAsia" w:asciiTheme="minorHAnsi" w:hAnsiTheme="minorHAnsi" w:eastAsiaTheme="majorEastAsia" w:cstheme="minorHAnsi"/>
          <w:szCs w:val="21"/>
        </w:rPr>
        <w:t>15；</w:t>
      </w:r>
    </w:p>
    <w:p>
      <w:pPr>
        <w:pStyle w:val="16"/>
        <w:widowControl/>
        <w:numPr>
          <w:ilvl w:val="0"/>
          <w:numId w:val="2"/>
        </w:numPr>
        <w:spacing w:line="360" w:lineRule="auto"/>
        <w:ind w:firstLineChars="0"/>
        <w:jc w:val="left"/>
        <w:rPr>
          <w:rFonts w:asciiTheme="minorHAnsi" w:hAnsiTheme="minorHAnsi" w:eastAsiaTheme="majorEastAsia" w:cstheme="minorHAnsi"/>
          <w:szCs w:val="21"/>
        </w:rPr>
      </w:pPr>
      <w:r>
        <w:rPr>
          <w:rFonts w:asciiTheme="minorHAnsi" w:hAnsiTheme="minorHAnsi" w:cstheme="minorHAnsi"/>
          <w:kern w:val="0"/>
          <w:szCs w:val="21"/>
        </w:rPr>
        <w:t>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p>
    <w:p>
      <w:pPr>
        <w:widowControl/>
        <w:spacing w:line="360" w:lineRule="auto"/>
        <w:ind w:firstLine="420" w:firstLineChars="200"/>
        <w:jc w:val="left"/>
        <w:rPr>
          <w:rFonts w:asciiTheme="minorHAnsi" w:hAnsiTheme="minorHAnsi" w:eastAsiaTheme="majorEastAsia" w:cstheme="minorHAnsi"/>
          <w:szCs w:val="21"/>
        </w:rPr>
      </w:pPr>
    </w:p>
    <w:p>
      <w:pPr>
        <w:pStyle w:val="16"/>
        <w:widowControl/>
        <w:spacing w:line="360" w:lineRule="auto"/>
        <w:ind w:left="450" w:hanging="450" w:firstLineChars="0"/>
        <w:jc w:val="left"/>
        <w:rPr>
          <w:rFonts w:asciiTheme="minorHAnsi" w:hAnsiTheme="minorHAnsi" w:eastAsiaTheme="majorEastAsia" w:cstheme="minorHAnsi"/>
          <w:b/>
          <w:szCs w:val="21"/>
        </w:rPr>
      </w:pPr>
      <w:r>
        <w:rPr>
          <w:rFonts w:asciiTheme="minorHAnsi" w:hAnsiTheme="minorHAnsi" w:eastAsiaTheme="majorEastAsia" w:cstheme="minorHAnsi"/>
          <w:b/>
          <w:bCs/>
          <w:kern w:val="0"/>
          <w:szCs w:val="21"/>
        </w:rPr>
        <w:t>二、</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项目概览</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Theme="minorHAnsi" w:hAnsiTheme="minorHAnsi" w:eastAsiaTheme="majorEastAsia" w:cstheme="minorHAnsi"/>
          <w:szCs w:val="21"/>
        </w:rPr>
        <w:t>参加项目的学生可选报两类课程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u w:val="single"/>
        </w:rPr>
        <w:t>语言文化课程</w:t>
      </w:r>
      <w:r>
        <w:rPr>
          <w:rFonts w:hint="eastAsia" w:asciiTheme="minorHAnsi" w:hAnsiTheme="minorHAnsi" w:eastAsiaTheme="majorEastAsia" w:cstheme="minorHAnsi"/>
          <w:szCs w:val="21"/>
        </w:rPr>
        <w:t>及</w:t>
      </w:r>
      <w:r>
        <w:rPr>
          <w:rFonts w:hint="eastAsia" w:asciiTheme="minorHAnsi" w:hAnsiTheme="minorHAnsi" w:eastAsiaTheme="majorEastAsia" w:cstheme="minorHAnsi"/>
          <w:szCs w:val="21"/>
          <w:u w:val="single"/>
        </w:rPr>
        <w:t>大学专业学分课程</w:t>
      </w:r>
      <w:r>
        <w:rPr>
          <w:rFonts w:hint="eastAsia" w:asciiTheme="minorHAnsi" w:hAnsiTheme="minorHAnsi" w:eastAsiaTheme="majorEastAsia" w:cstheme="minorHAnsi"/>
          <w:szCs w:val="21"/>
        </w:rPr>
        <w:t>。参加项目的学生与加州大学圣地亚哥分校在读学生混合编班，由加州大学圣地亚哥分校进行统一的学术管理与学术考核，获得加州大学圣地亚哥分校正式成绩单。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第一类：语言文化课程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日期：2019年3月11日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2019年7月19日</w:t>
      </w:r>
    </w:p>
    <w:p>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参加语言文化课程的学生，将</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快速提高英语应用能力与沟通交流能力，同时</w:t>
      </w:r>
      <w:r>
        <w:rPr>
          <w:rFonts w:asciiTheme="minorHAnsi" w:hAnsiTheme="minorHAnsi" w:eastAsiaTheme="majorEastAsia" w:cstheme="minorHAnsi"/>
          <w:kern w:val="0"/>
          <w:szCs w:val="21"/>
        </w:rPr>
        <w:t>了解美国社会</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增进对不同文化的认识和理解</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提高自身的创新意识和国际意识</w:t>
      </w:r>
      <w:r>
        <w:rPr>
          <w:rFonts w:hint="eastAsia" w:asciiTheme="minorHAnsi" w:hAnsiTheme="minorHAnsi" w:eastAsiaTheme="majorEastAsia" w:cstheme="minorHAnsi"/>
          <w:kern w:val="0"/>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项目分为两个阶段，每个阶段各包括8周的课程，顺利完成第一阶段课程的学生，可在第二阶段修读更高级别的课程。课程内容丰富、形式多样，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 xml:space="preserve">。 </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参加项目的学生可根据入学英语水平测试成绩和个人兴趣选择Intensive Academic强化学术英语课程、Intensive Business强化商务英语课程、Intensive Communication &amp; Culture强化沟通与文化课程、</w:t>
      </w:r>
      <w:r>
        <w:rPr>
          <w:rFonts w:asciiTheme="minorHAnsi" w:hAnsiTheme="minorHAnsi" w:eastAsiaTheme="majorEastAsia" w:cstheme="minorHAnsi"/>
          <w:szCs w:val="21"/>
        </w:rPr>
        <w:t>Intensive Legal</w:t>
      </w:r>
      <w:r>
        <w:rPr>
          <w:rFonts w:hint="eastAsia" w:asciiTheme="minorHAnsi" w:hAnsiTheme="minorHAnsi" w:eastAsiaTheme="majorEastAsia" w:cstheme="minorHAnsi"/>
          <w:szCs w:val="21"/>
        </w:rPr>
        <w:t xml:space="preserve"> English强化法律英语课程、Intensive TOEFL Preparation强化托福预备课程或Intensive IELTS Preparation强化雅思预备课程。</w:t>
      </w:r>
    </w:p>
    <w:p>
      <w:pPr>
        <w:widowControl/>
        <w:spacing w:line="360" w:lineRule="auto"/>
        <w:ind w:firstLine="420" w:firstLineChars="200"/>
        <w:jc w:val="left"/>
        <w:rPr>
          <w:rFonts w:asciiTheme="minorHAnsi" w:hAnsiTheme="minorHAnsi" w:eastAsiaTheme="majorEastAsia" w:cstheme="minorHAnsi"/>
          <w:szCs w:val="21"/>
          <w:u w:val="single"/>
        </w:rPr>
      </w:pPr>
      <w:r>
        <w:drawing>
          <wp:anchor distT="0" distB="0" distL="114300" distR="114300" simplePos="0" relativeHeight="251660288" behindDoc="0" locked="0" layoutInCell="1" allowOverlap="1">
            <wp:simplePos x="0" y="0"/>
            <wp:positionH relativeFrom="column">
              <wp:posOffset>-28575</wp:posOffset>
            </wp:positionH>
            <wp:positionV relativeFrom="paragraph">
              <wp:posOffset>525780</wp:posOffset>
            </wp:positionV>
            <wp:extent cx="5274310" cy="1731010"/>
            <wp:effectExtent l="0" t="0" r="2540"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1731010"/>
                    </a:xfrm>
                    <a:prstGeom prst="rect">
                      <a:avLst/>
                    </a:prstGeom>
                  </pic:spPr>
                </pic:pic>
              </a:graphicData>
            </a:graphic>
          </wp:anchor>
        </w:drawing>
      </w: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第二</w:t>
      </w:r>
      <w:r>
        <w:rPr>
          <w:rFonts w:hint="eastAsia" w:asciiTheme="minorHAnsi" w:hAnsiTheme="minorHAnsi" w:eastAsiaTheme="majorEastAsia" w:cstheme="minorHAnsi"/>
          <w:szCs w:val="21"/>
          <w:u w:val="single"/>
        </w:rPr>
        <w:t>类</w:t>
      </w:r>
      <w:r>
        <w:rPr>
          <w:rFonts w:asciiTheme="minorHAnsi" w:hAnsiTheme="minorHAnsi" w:eastAsiaTheme="majorEastAsia" w:cstheme="minorHAnsi"/>
          <w:szCs w:val="21"/>
          <w:u w:val="single"/>
        </w:rPr>
        <w:t>：大学</w:t>
      </w: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日期：2019年3月4日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2019年6月14日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本校、全美国际教育协会、以及加州大学圣地亚哥分校的共同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可以与圣地亚哥分校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项目分为两个阶段：为期4周的学术预备课程及为期12周的专业主课。大学学分课程面向本校大多数专业的学生，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获得加州大学圣地亚哥分校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ind w:left="420" w:leftChars="200"/>
        <w:jc w:val="left"/>
        <w:rPr>
          <w:rFonts w:asciiTheme="minorHAnsi" w:hAnsiTheme="minorHAnsi" w:eastAsiaTheme="majorEastAsia" w:cstheme="minorHAnsi"/>
          <w:szCs w:val="21"/>
        </w:rPr>
      </w:pPr>
      <w:r>
        <w:rPr>
          <w:rFonts w:asciiTheme="minorHAnsi" w:hAnsiTheme="minorHAnsi" w:eastAsiaTheme="majorEastAsia" w:cstheme="minorHAnsi"/>
          <w:szCs w:val="21"/>
        </w:rPr>
        <w:t>详细课程信息</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可在学校官网查询</w:t>
      </w:r>
      <w:r>
        <w:rPr>
          <w:rFonts w:hint="eastAsia" w:asciiTheme="minorHAnsi" w:hAnsiTheme="minorHAnsi" w:eastAsiaTheme="majorEastAsia" w:cstheme="minorHAnsi"/>
          <w:szCs w:val="21"/>
        </w:rPr>
        <w:t>：</w:t>
      </w:r>
      <w:r>
        <w:fldChar w:fldCharType="begin"/>
      </w:r>
      <w:r>
        <w:instrText xml:space="preserve"> HYPERLINK "https://act.ucsd.edu/scheduleOfClasses/scheduleOfClassesStudent.htm" </w:instrText>
      </w:r>
      <w:r>
        <w:fldChar w:fldCharType="separate"/>
      </w:r>
      <w:r>
        <w:rPr>
          <w:rStyle w:val="10"/>
          <w:rFonts w:asciiTheme="minorHAnsi" w:hAnsiTheme="minorHAnsi" w:eastAsiaTheme="majorEastAsia" w:cstheme="minorHAnsi"/>
          <w:szCs w:val="21"/>
        </w:rPr>
        <w:t>https://act.ucsd.edu/scheduleOfClasses/scheduleOfClassesStudent.htm</w:t>
      </w:r>
      <w:r>
        <w:rPr>
          <w:rStyle w:val="10"/>
          <w:rFonts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p>
    <w:p>
      <w:pPr>
        <w:widowControl/>
        <w:spacing w:line="360" w:lineRule="auto"/>
        <w:ind w:firstLine="420" w:firstLineChars="200"/>
        <w:jc w:val="left"/>
        <w:rPr>
          <w:rFonts w:asciiTheme="minorHAnsi" w:hAnsiTheme="minorHAnsi" w:eastAsiaTheme="majorEastAsia" w:cstheme="minorHAnsi"/>
          <w:szCs w:val="21"/>
        </w:rPr>
      </w:pPr>
      <w:r>
        <w:fldChar w:fldCharType="begin"/>
      </w:r>
      <w:r>
        <w:instrText xml:space="preserve"> HYPERLINK "https://extension.ucsd.edu/courses-and-programs" </w:instrText>
      </w:r>
      <w:r>
        <w:fldChar w:fldCharType="separate"/>
      </w:r>
      <w:r>
        <w:rPr>
          <w:rStyle w:val="10"/>
          <w:rFonts w:asciiTheme="minorHAnsi" w:hAnsiTheme="minorHAnsi" w:eastAsiaTheme="majorEastAsia" w:cstheme="minorHAnsi"/>
          <w:szCs w:val="21"/>
        </w:rPr>
        <w:t>https://extension.ucsd.edu/courses-and-programs</w:t>
      </w:r>
      <w:r>
        <w:rPr>
          <w:rStyle w:val="10"/>
          <w:rFonts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、圣地亚哥动物园、海洋世界、</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w:t>
      </w:r>
      <w:r>
        <w:rPr>
          <w:rFonts w:hint="eastAsia" w:asciiTheme="minorHAnsi" w:hAnsiTheme="minorHAnsi" w:eastAsiaTheme="majorEastAsia" w:cstheme="minorHAnsi"/>
          <w:szCs w:val="21"/>
        </w:rPr>
        <w:t>体育</w:t>
      </w:r>
      <w:r>
        <w:rPr>
          <w:rFonts w:asciiTheme="minorHAnsi" w:hAnsiTheme="minorHAnsi" w:eastAsiaTheme="majorEastAsia" w:cstheme="minorHAnsi"/>
          <w:szCs w:val="21"/>
        </w:rPr>
        <w:t>比赛等</w:t>
      </w:r>
      <w:r>
        <w:rPr>
          <w:rFonts w:hint="eastAsia" w:asciiTheme="minorHAnsi" w:hAnsiTheme="minorHAnsi" w:eastAsiaTheme="majorEastAsia" w:cstheme="minorHAnsi"/>
          <w:szCs w:val="21"/>
        </w:rPr>
        <w:t>。</w:t>
      </w:r>
    </w:p>
    <w:p>
      <w:pPr>
        <w:spacing w:line="360" w:lineRule="auto"/>
        <w:ind w:left="420" w:leftChars="200"/>
        <w:rPr>
          <w:rFonts w:hint="eastAsia" w:cs="Calibri" w:asciiTheme="minorHAnsi" w:hAnsiTheme="minorHAnsi"/>
          <w:sz w:val="22"/>
          <w:szCs w:val="22"/>
        </w:rPr>
      </w:pPr>
      <w:r>
        <w:rPr>
          <w:rFonts w:hint="eastAsia" w:cs="Calibri" w:asciiTheme="minorHAnsi" w:hAnsiTheme="minorHAnsi"/>
          <w:sz w:val="22"/>
          <w:szCs w:val="22"/>
        </w:rPr>
        <w:t>所有参加语言及学分课程的学生均可获得加州大学圣地亚哥分校正式注册的学生</w:t>
      </w:r>
    </w:p>
    <w:p>
      <w:pPr>
        <w:spacing w:line="360" w:lineRule="auto"/>
        <w:rPr>
          <w:rFonts w:cs="Calibri" w:asciiTheme="minorHAnsi" w:hAnsiTheme="minorHAnsi"/>
          <w:sz w:val="22"/>
          <w:szCs w:val="22"/>
        </w:rPr>
      </w:pPr>
      <w:r>
        <w:rPr>
          <w:rFonts w:hint="eastAsia" w:cs="Calibri" w:asciiTheme="minorHAnsi" w:hAnsiTheme="minorHAnsi"/>
          <w:sz w:val="22"/>
          <w:szCs w:val="22"/>
        </w:rPr>
        <w:t>证，凭借学生证可在项目期内，按校方规定使用学校的校园设施与教育资源，包括图书馆、健身房、活动中心等。</w:t>
      </w:r>
    </w:p>
    <w:p>
      <w:pPr>
        <w:spacing w:line="360" w:lineRule="auto"/>
        <w:rPr>
          <w:rFonts w:cs="Calibri" w:asciiTheme="minorHAnsi" w:hAnsiTheme="minorHAnsi"/>
          <w:sz w:val="22"/>
          <w:szCs w:val="22"/>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Calibri" w:hAnsi="Calibri" w:cs="Calibri"/>
        </w:rPr>
      </w:pPr>
      <w:r>
        <w:rPr>
          <w:rFonts w:hint="eastAsia" w:asciiTheme="minorHAnsi" w:hAnsiTheme="minorHAnsi" w:eastAsiaTheme="majorEastAsia" w:cstheme="minorHAnsi"/>
          <w:szCs w:val="21"/>
        </w:rPr>
        <w:t>顺利完成所有课程，并通过学术考核的学生，将获得加州大学圣地亚哥分校出具的正式成绩单及学习证明。</w:t>
      </w:r>
    </w:p>
    <w:p>
      <w:pPr>
        <w:widowControl/>
        <w:spacing w:line="360" w:lineRule="auto"/>
        <w:jc w:val="left"/>
        <w:rPr>
          <w:rFonts w:asciiTheme="minorHAnsi" w:hAnsiTheme="minorHAnsi" w:eastAsiaTheme="majorEastAsia" w:cstheme="minorHAnsi"/>
          <w:szCs w:val="21"/>
        </w:rPr>
      </w:pPr>
      <w:r>
        <w:drawing>
          <wp:anchor distT="0" distB="0" distL="114300" distR="114300" simplePos="0" relativeHeight="251661312" behindDoc="0" locked="0" layoutInCell="1" allowOverlap="1">
            <wp:simplePos x="0" y="0"/>
            <wp:positionH relativeFrom="column">
              <wp:posOffset>38100</wp:posOffset>
            </wp:positionH>
            <wp:positionV relativeFrom="paragraph">
              <wp:posOffset>120015</wp:posOffset>
            </wp:positionV>
            <wp:extent cx="1790700" cy="22713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2271395"/>
                    </a:xfrm>
                    <a:prstGeom prst="rect">
                      <a:avLst/>
                    </a:prstGeom>
                  </pic:spPr>
                </pic:pic>
              </a:graphicData>
            </a:graphic>
          </wp:anchor>
        </w:drawing>
      </w: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p>
    <w:p>
      <w:pPr>
        <w:widowControl/>
        <w:spacing w:line="360" w:lineRule="auto"/>
        <w:ind w:firstLine="210" w:firstLineChars="100"/>
        <w:jc w:val="left"/>
        <w:rPr>
          <w:rFonts w:hint="eastAsia" w:asciiTheme="minorHAnsi" w:hAnsiTheme="minorHAnsi" w:eastAsiaTheme="majorEastAsia" w:cstheme="minorHAnsi"/>
          <w:szCs w:val="21"/>
        </w:rPr>
      </w:pPr>
    </w:p>
    <w:p>
      <w:pPr>
        <w:widowControl/>
        <w:spacing w:line="360" w:lineRule="auto"/>
        <w:ind w:firstLine="210" w:firstLineChars="100"/>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图：UCSD语言项目成绩单</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51" w:type="dxa"/>
            <w:vMerge w:val="restart"/>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语言文化课程：约10,420美元（约合人民币7.1万元）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951" w:type="dxa"/>
            <w:vMerge w:val="continue"/>
          </w:tcPr>
          <w:p>
            <w:pPr>
              <w:spacing w:line="360" w:lineRule="auto"/>
              <w:rPr>
                <w:rFonts w:asciiTheme="minorHAnsi" w:hAnsiTheme="minorHAnsi" w:eastAsiaTheme="majorEastAsia" w:cstheme="minorHAnsi"/>
                <w:szCs w:val="21"/>
              </w:rPr>
            </w:pP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大学专业学分课程：约13</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17</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美元（约合人民币9万元）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申请费、学费、国际学生管理费、在读期间医疗保险、及项目设计与管理费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tc>
      </w:tr>
    </w:tbl>
    <w:p>
      <w:pPr>
        <w:widowControl/>
        <w:spacing w:line="360" w:lineRule="auto"/>
        <w:jc w:val="left"/>
        <w:rPr>
          <w:rFonts w:asciiTheme="minorHAnsi" w:hAnsiTheme="minorHAnsi" w:eastAsiaTheme="majorEastAsia" w:cstheme="minorHAnsi"/>
          <w:kern w:val="0"/>
          <w:szCs w:val="21"/>
        </w:rPr>
      </w:pPr>
    </w:p>
    <w:p>
      <w:pPr>
        <w:pStyle w:val="16"/>
        <w:widowControl/>
        <w:numPr>
          <w:ilvl w:val="0"/>
          <w:numId w:val="0"/>
        </w:numPr>
        <w:spacing w:line="360" w:lineRule="auto"/>
        <w:ind w:leftChars="0"/>
        <w:jc w:val="left"/>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eastAsia="宋体" w:cs="宋体"/>
          <w:b/>
          <w:bCs/>
          <w:kern w:val="0"/>
          <w:sz w:val="21"/>
          <w:szCs w:val="21"/>
        </w:rPr>
        <w:t>申请条件</w:t>
      </w:r>
    </w:p>
    <w:p>
      <w:pPr>
        <w:pStyle w:val="16"/>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仅限本校全日制本科生及研究生，成绩优异、道德品质好，在校期间未受过纪律处分，身心健康，能顺利完成在美学习任务；</w:t>
      </w:r>
    </w:p>
    <w:p>
      <w:pPr>
        <w:pStyle w:val="16"/>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 xml:space="preserve">学术要求 </w:t>
      </w:r>
    </w:p>
    <w:p>
      <w:pPr>
        <w:pStyle w:val="16"/>
        <w:spacing w:line="360" w:lineRule="auto"/>
        <w:ind w:left="570" w:firstLine="0" w:firstLineChars="0"/>
        <w:rPr>
          <w:rFonts w:hint="eastAsia" w:ascii="宋体" w:hAnsi="宋体" w:eastAsia="宋体" w:cs="宋体"/>
          <w:sz w:val="21"/>
          <w:szCs w:val="21"/>
        </w:rPr>
      </w:pPr>
      <w:r>
        <w:rPr>
          <w:rFonts w:hint="eastAsia" w:ascii="宋体" w:hAnsi="宋体" w:eastAsia="宋体" w:cs="宋体"/>
          <w:sz w:val="21"/>
          <w:szCs w:val="21"/>
        </w:rPr>
        <w:t>英语及美国文化课程学习：具有良好的英语基础；强化学术英语课程以及强化沟通与文化课程适合各级别的学生；参加强化商务英语课程、强化托福预备课程以及强化雅思预备课程，需在入学内测中达到高中级以上水平（</w:t>
      </w:r>
      <w:r>
        <w:rPr>
          <w:rFonts w:hint="eastAsia" w:ascii="宋体" w:hAnsi="宋体" w:eastAsia="宋体" w:cs="宋体"/>
          <w:bCs/>
          <w:sz w:val="21"/>
          <w:szCs w:val="21"/>
        </w:rPr>
        <w:t>levels 105-110</w:t>
      </w:r>
      <w:r>
        <w:rPr>
          <w:rFonts w:hint="eastAsia" w:ascii="宋体" w:hAnsi="宋体" w:eastAsia="宋体" w:cs="宋体"/>
          <w:sz w:val="21"/>
          <w:szCs w:val="21"/>
        </w:rPr>
        <w:t>）；参加强化法律英语课程，需达到托福85，或雅思7.0，或在入学内测中达到高级水平（</w:t>
      </w:r>
      <w:r>
        <w:rPr>
          <w:rFonts w:hint="eastAsia" w:ascii="宋体" w:hAnsi="宋体" w:eastAsia="宋体" w:cs="宋体"/>
          <w:bCs/>
          <w:sz w:val="21"/>
          <w:szCs w:val="21"/>
        </w:rPr>
        <w:t>levels 108-110</w:t>
      </w:r>
      <w:r>
        <w:rPr>
          <w:rFonts w:hint="eastAsia" w:ascii="宋体" w:hAnsi="宋体" w:eastAsia="宋体" w:cs="宋体"/>
          <w:sz w:val="21"/>
          <w:szCs w:val="21"/>
        </w:rPr>
        <w:t>）；</w:t>
      </w:r>
    </w:p>
    <w:p>
      <w:pPr>
        <w:pStyle w:val="16"/>
        <w:spacing w:line="360" w:lineRule="auto"/>
        <w:ind w:left="570" w:firstLine="0" w:firstLineChars="0"/>
        <w:rPr>
          <w:rFonts w:hint="eastAsia" w:ascii="宋体" w:hAnsi="宋体" w:eastAsia="宋体" w:cs="宋体"/>
          <w:sz w:val="21"/>
          <w:szCs w:val="21"/>
        </w:rPr>
      </w:pPr>
      <w:r>
        <w:rPr>
          <w:rFonts w:hint="eastAsia" w:ascii="宋体" w:hAnsi="宋体" w:eastAsia="宋体" w:cs="宋体"/>
          <w:sz w:val="21"/>
          <w:szCs w:val="21"/>
        </w:rPr>
        <w:t>大学专业学分课程：托福90，或雅思7.5，GPA3.5（4分制）以上；</w:t>
      </w:r>
    </w:p>
    <w:p>
      <w:pPr>
        <w:pStyle w:val="16"/>
        <w:numPr>
          <w:ilvl w:val="0"/>
          <w:numId w:val="3"/>
        </w:numPr>
        <w:spacing w:line="360" w:lineRule="auto"/>
        <w:ind w:firstLineChars="0"/>
        <w:rPr>
          <w:rFonts w:hint="eastAsia" w:ascii="宋体" w:hAnsi="宋体" w:eastAsia="宋体" w:cs="宋体"/>
          <w:sz w:val="21"/>
          <w:szCs w:val="21"/>
        </w:rPr>
      </w:pPr>
      <w:r>
        <w:rPr>
          <w:rFonts w:hint="eastAsia" w:ascii="宋体" w:hAnsi="宋体" w:eastAsia="宋体" w:cs="宋体"/>
          <w:sz w:val="21"/>
          <w:szCs w:val="21"/>
        </w:rPr>
        <w:t>家庭具有一定经济基础，能够提供访学所需学费及生活费；</w:t>
      </w:r>
    </w:p>
    <w:p>
      <w:pPr>
        <w:pStyle w:val="16"/>
        <w:spacing w:line="360" w:lineRule="auto"/>
        <w:ind w:left="570" w:firstLine="0" w:firstLineChars="0"/>
        <w:rPr>
          <w:rFonts w:hint="eastAsia" w:ascii="宋体" w:hAnsi="宋体" w:eastAsia="宋体" w:cs="宋体"/>
          <w:sz w:val="21"/>
          <w:szCs w:val="21"/>
        </w:rPr>
      </w:pPr>
    </w:p>
    <w:p>
      <w:pPr>
        <w:pStyle w:val="16"/>
        <w:numPr>
          <w:ilvl w:val="0"/>
          <w:numId w:val="0"/>
        </w:numPr>
        <w:spacing w:line="360" w:lineRule="auto"/>
        <w:ind w:leftChars="0"/>
        <w:rPr>
          <w:rFonts w:hint="eastAsia" w:ascii="宋体" w:hAnsi="宋体" w:eastAsia="宋体" w:cs="宋体"/>
          <w:sz w:val="21"/>
          <w:szCs w:val="21"/>
          <w:lang w:val="en-US" w:eastAsia="zh-CN"/>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w:t>
      </w:r>
      <w:r>
        <w:rPr>
          <w:rFonts w:hint="eastAsia" w:ascii="宋体" w:hAnsi="宋体" w:eastAsia="宋体" w:cs="宋体"/>
          <w:b/>
          <w:kern w:val="0"/>
          <w:sz w:val="21"/>
          <w:szCs w:val="21"/>
        </w:rPr>
        <w:t>项目申请录取方式和报名流程</w:t>
      </w:r>
    </w:p>
    <w:p>
      <w:pPr>
        <w:spacing w:line="360" w:lineRule="auto"/>
        <w:jc w:val="left"/>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1、</w:t>
      </w:r>
      <w:r>
        <w:rPr>
          <w:rFonts w:hint="eastAsia" w:ascii="宋体" w:hAnsi="宋体" w:eastAsia="宋体" w:cs="宋体"/>
          <w:kern w:val="0"/>
          <w:sz w:val="21"/>
          <w:szCs w:val="21"/>
          <w:lang w:val="en-US" w:eastAsia="zh-CN"/>
        </w:rPr>
        <w:t>学生本人提出申请，在学校国际合作与交流处报名。报名方式：登陆“西安工程大学全球化学习项目与申请平台”（网址：</w:t>
      </w:r>
      <w:r>
        <w:rPr>
          <w:rFonts w:hint="eastAsia" w:ascii="宋体" w:hAnsi="宋体" w:eastAsia="宋体" w:cs="宋体"/>
          <w:color w:val="0000FF"/>
          <w:sz w:val="21"/>
          <w:szCs w:val="21"/>
          <w:lang w:val="en-US" w:eastAsia="zh-CN"/>
        </w:rPr>
        <w:fldChar w:fldCharType="begin"/>
      </w:r>
      <w:r>
        <w:rPr>
          <w:rFonts w:hint="eastAsia" w:ascii="宋体" w:hAnsi="宋体" w:eastAsia="宋体" w:cs="宋体"/>
          <w:color w:val="0000FF"/>
          <w:sz w:val="21"/>
          <w:szCs w:val="21"/>
          <w:lang w:val="en-US" w:eastAsia="zh-CN"/>
        </w:rPr>
        <w:instrText xml:space="preserve"> HYPERLINK "http://xpu.hikedu.com/" </w:instrText>
      </w:r>
      <w:r>
        <w:rPr>
          <w:rFonts w:hint="eastAsia" w:ascii="宋体" w:hAnsi="宋体" w:eastAsia="宋体" w:cs="宋体"/>
          <w:color w:val="0000FF"/>
          <w:sz w:val="21"/>
          <w:szCs w:val="21"/>
          <w:lang w:val="en-US" w:eastAsia="zh-CN"/>
        </w:rPr>
        <w:fldChar w:fldCharType="separate"/>
      </w:r>
      <w:r>
        <w:rPr>
          <w:rFonts w:hint="eastAsia" w:ascii="宋体" w:hAnsi="宋体" w:eastAsia="宋体" w:cs="宋体"/>
          <w:color w:val="0000FF"/>
          <w:sz w:val="21"/>
          <w:szCs w:val="21"/>
          <w:lang w:val="en-US" w:eastAsia="zh-CN"/>
        </w:rPr>
        <w:t>http://xpu.hikedu.com/</w:t>
      </w:r>
      <w:r>
        <w:rPr>
          <w:rFonts w:hint="eastAsia" w:ascii="宋体" w:hAnsi="宋体" w:eastAsia="宋体" w:cs="宋体"/>
          <w:color w:val="0000FF"/>
          <w:sz w:val="21"/>
          <w:szCs w:val="21"/>
          <w:lang w:val="en-US" w:eastAsia="zh-CN"/>
        </w:rPr>
        <w:fldChar w:fldCharType="end"/>
      </w:r>
      <w:r>
        <w:rPr>
          <w:rFonts w:hint="eastAsia" w:ascii="宋体" w:hAnsi="宋体" w:eastAsia="宋体" w:cs="宋体"/>
          <w:kern w:val="0"/>
          <w:sz w:val="21"/>
          <w:szCs w:val="21"/>
          <w:lang w:val="en-US" w:eastAsia="zh-CN"/>
        </w:rPr>
        <w:t>），同时在在西安工程大学国际处网站（</w:t>
      </w:r>
      <w:r>
        <w:rPr>
          <w:rFonts w:hint="eastAsia" w:ascii="宋体" w:hAnsi="宋体" w:eastAsia="宋体" w:cs="宋体"/>
          <w:color w:val="0000FF"/>
          <w:sz w:val="21"/>
          <w:szCs w:val="21"/>
          <w:lang w:val="en-US" w:eastAsia="zh-CN"/>
        </w:rPr>
        <w:fldChar w:fldCharType="begin"/>
      </w:r>
      <w:r>
        <w:rPr>
          <w:rFonts w:hint="eastAsia" w:ascii="宋体" w:hAnsi="宋体" w:eastAsia="宋体" w:cs="宋体"/>
          <w:color w:val="0000FF"/>
          <w:sz w:val="21"/>
          <w:szCs w:val="21"/>
          <w:lang w:val="en-US" w:eastAsia="zh-CN"/>
        </w:rPr>
        <w:instrText xml:space="preserve"> HYPERLINK "http://international.xpu.edu.cn/" </w:instrText>
      </w:r>
      <w:r>
        <w:rPr>
          <w:rFonts w:hint="eastAsia" w:ascii="宋体" w:hAnsi="宋体" w:eastAsia="宋体" w:cs="宋体"/>
          <w:color w:val="0000FF"/>
          <w:sz w:val="21"/>
          <w:szCs w:val="21"/>
          <w:lang w:val="en-US" w:eastAsia="zh-CN"/>
        </w:rPr>
        <w:fldChar w:fldCharType="separate"/>
      </w:r>
      <w:r>
        <w:rPr>
          <w:rFonts w:hint="eastAsia" w:ascii="宋体" w:hAnsi="宋体" w:eastAsia="宋体" w:cs="宋体"/>
          <w:color w:val="0000FF"/>
          <w:sz w:val="21"/>
          <w:szCs w:val="21"/>
          <w:lang w:val="en-US" w:eastAsia="zh-CN"/>
        </w:rPr>
        <w:t>http://international.xpu.edu.cn/</w:t>
      </w:r>
      <w:r>
        <w:rPr>
          <w:rFonts w:hint="eastAsia" w:ascii="宋体" w:hAnsi="宋体" w:eastAsia="宋体" w:cs="宋体"/>
          <w:color w:val="0000FF"/>
          <w:sz w:val="21"/>
          <w:szCs w:val="21"/>
          <w:lang w:val="en-US" w:eastAsia="zh-CN"/>
        </w:rPr>
        <w:fldChar w:fldCharType="end"/>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kern w:val="0"/>
          <w:sz w:val="21"/>
          <w:szCs w:val="21"/>
          <w:lang w:val="en-US" w:eastAsia="zh-CN"/>
        </w:rPr>
        <w:t>下载《西安工程大学学生出国（境）申请表》。打印填写找相关部门老师签字盖章后提交国际处。</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2、同时登录项目选拔管理机构 -- 全美国际教育协会网站</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"http://www.usiea.org" </w:instrText>
      </w:r>
      <w:r>
        <w:rPr>
          <w:rFonts w:hint="eastAsia" w:ascii="宋体" w:hAnsi="宋体" w:eastAsia="宋体" w:cs="宋体"/>
          <w:color w:val="0000FF"/>
          <w:sz w:val="21"/>
          <w:szCs w:val="21"/>
        </w:rPr>
        <w:fldChar w:fldCharType="separate"/>
      </w:r>
      <w:r>
        <w:rPr>
          <w:rFonts w:hint="eastAsia" w:ascii="宋体" w:hAnsi="宋体" w:eastAsia="宋体" w:cs="宋体"/>
          <w:color w:val="0000FF"/>
          <w:sz w:val="21"/>
          <w:szCs w:val="21"/>
        </w:rPr>
        <w:t>www.usiea.org</w:t>
      </w:r>
      <w:r>
        <w:rPr>
          <w:rFonts w:hint="eastAsia" w:ascii="宋体" w:hAnsi="宋体" w:eastAsia="宋体" w:cs="宋体"/>
          <w:color w:val="0000FF"/>
          <w:sz w:val="21"/>
          <w:szCs w:val="21"/>
        </w:rPr>
        <w:fldChar w:fldCharType="end"/>
      </w:r>
      <w:r>
        <w:rPr>
          <w:rFonts w:hint="eastAsia" w:ascii="宋体" w:hAnsi="宋体" w:eastAsia="宋体" w:cs="宋体"/>
          <w:color w:val="000000"/>
          <w:sz w:val="21"/>
          <w:szCs w:val="21"/>
        </w:rPr>
        <w:t>，填写《</w:t>
      </w:r>
      <w:r>
        <w:rPr>
          <w:rFonts w:hint="eastAsia" w:ascii="宋体" w:hAnsi="宋体" w:eastAsia="宋体" w:cs="宋体"/>
          <w:color w:val="000000"/>
          <w:sz w:val="21"/>
          <w:szCs w:val="21"/>
          <w:lang w:val="en-US" w:eastAsia="zh-CN"/>
        </w:rPr>
        <w:t>世界</w:t>
      </w:r>
      <w:r>
        <w:rPr>
          <w:rFonts w:hint="eastAsia" w:ascii="宋体" w:hAnsi="宋体" w:eastAsia="宋体" w:cs="宋体"/>
          <w:color w:val="000000"/>
          <w:sz w:val="21"/>
          <w:szCs w:val="21"/>
        </w:rPr>
        <w:t>名校访学201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学年报名表》，网上报名的时间决定录取的顺序；</w:t>
      </w:r>
    </w:p>
    <w:p>
      <w:pPr>
        <w:pStyle w:val="16"/>
        <w:numPr>
          <w:ilvl w:val="0"/>
          <w:numId w:val="4"/>
        </w:numPr>
        <w:spacing w:line="360" w:lineRule="auto"/>
        <w:ind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学生申请资料经初步审核后，达到要求者参加面试，确定预录取名单；</w:t>
      </w:r>
    </w:p>
    <w:p>
      <w:pPr>
        <w:pStyle w:val="16"/>
        <w:numPr>
          <w:ilvl w:val="0"/>
          <w:numId w:val="4"/>
        </w:numPr>
        <w:spacing w:line="360" w:lineRule="auto"/>
        <w:ind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学生提交正式申请材料并缴纳项目费用，获得学校录取及签证后赴海外学习；</w:t>
      </w:r>
    </w:p>
    <w:p>
      <w:pPr>
        <w:numPr>
          <w:ilvl w:val="0"/>
          <w:numId w:val="4"/>
        </w:numPr>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项目申请截止日期：201</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年</w:t>
      </w:r>
      <w:r>
        <w:rPr>
          <w:rFonts w:hint="eastAsia" w:ascii="宋体" w:hAnsi="宋体" w:cs="宋体"/>
          <w:b/>
          <w:bCs/>
          <w:color w:val="000000"/>
          <w:sz w:val="21"/>
          <w:szCs w:val="21"/>
          <w:lang w:val="en-US" w:eastAsia="zh-CN"/>
        </w:rPr>
        <w:t>11</w:t>
      </w:r>
      <w:r>
        <w:rPr>
          <w:rFonts w:hint="eastAsia" w:ascii="宋体" w:hAnsi="宋体" w:eastAsia="宋体" w:cs="宋体"/>
          <w:b/>
          <w:bCs/>
          <w:color w:val="000000"/>
          <w:sz w:val="21"/>
          <w:szCs w:val="21"/>
        </w:rPr>
        <w:t>月</w:t>
      </w:r>
      <w:r>
        <w:rPr>
          <w:rFonts w:hint="eastAsia" w:ascii="宋体" w:hAnsi="宋体" w:cs="宋体"/>
          <w:b/>
          <w:bCs/>
          <w:color w:val="000000"/>
          <w:sz w:val="21"/>
          <w:szCs w:val="21"/>
          <w:lang w:val="en-US" w:eastAsia="zh-CN"/>
        </w:rPr>
        <w:t>20</w:t>
      </w:r>
      <w:bookmarkStart w:id="0" w:name="_GoBack"/>
      <w:bookmarkEnd w:id="0"/>
      <w:r>
        <w:rPr>
          <w:rFonts w:hint="eastAsia" w:ascii="宋体" w:hAnsi="宋体" w:eastAsia="宋体" w:cs="宋体"/>
          <w:b/>
          <w:bCs/>
          <w:color w:val="000000"/>
          <w:sz w:val="21"/>
          <w:szCs w:val="21"/>
        </w:rPr>
        <w:t>日。</w:t>
      </w:r>
    </w:p>
    <w:p>
      <w:pPr>
        <w:spacing w:line="360" w:lineRule="auto"/>
        <w:ind w:left="360"/>
        <w:rPr>
          <w:rFonts w:hint="eastAsia" w:ascii="宋体" w:hAnsi="宋体" w:eastAsia="宋体" w:cs="宋体"/>
          <w:color w:val="000000" w:themeColor="text1"/>
          <w:sz w:val="21"/>
          <w:szCs w:val="21"/>
          <w14:textFill>
            <w14:solidFill>
              <w14:schemeClr w14:val="tx1"/>
            </w14:solidFill>
          </w14:textFill>
        </w:rPr>
      </w:pPr>
    </w:p>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五</w:t>
      </w:r>
      <w:r>
        <w:rPr>
          <w:rFonts w:hint="eastAsia" w:ascii="宋体" w:hAnsi="宋体" w:eastAsia="宋体" w:cs="宋体"/>
          <w:b/>
          <w:bCs/>
          <w:color w:val="000000" w:themeColor="text1"/>
          <w:kern w:val="0"/>
          <w:sz w:val="21"/>
          <w:szCs w:val="21"/>
          <w14:textFill>
            <w14:solidFill>
              <w14:schemeClr w14:val="tx1"/>
            </w14:solidFill>
          </w14:textFill>
        </w:rPr>
        <w:t>、项目管理</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国际合作与交流处</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师老师 临潼校区22-8楼414室 电话：62779091，82330567</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全美国际教育协会项目负责人：袁老师 电话/微信18192903776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全美国际教育协会咨询电话: 029-8559 2820（周一至周五 9:00—18:00）</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全美国际教育协会官网：</w:t>
      </w:r>
      <w:r>
        <w:rPr>
          <w:rStyle w:val="10"/>
          <w:rFonts w:hint="eastAsia" w:ascii="宋体" w:hAnsi="宋体" w:eastAsia="宋体" w:cs="宋体"/>
          <w:color w:val="0000FF"/>
          <w:sz w:val="21"/>
          <w:szCs w:val="21"/>
        </w:rPr>
        <w:fldChar w:fldCharType="begin"/>
      </w:r>
      <w:r>
        <w:rPr>
          <w:rStyle w:val="10"/>
          <w:rFonts w:hint="eastAsia" w:ascii="宋体" w:hAnsi="宋体" w:eastAsia="宋体" w:cs="宋体"/>
          <w:color w:val="0000FF"/>
          <w:sz w:val="21"/>
          <w:szCs w:val="21"/>
        </w:rPr>
        <w:instrText xml:space="preserve"> HYPERLINK "http://www.usiea.org" </w:instrText>
      </w:r>
      <w:r>
        <w:rPr>
          <w:rStyle w:val="10"/>
          <w:rFonts w:hint="eastAsia" w:ascii="宋体" w:hAnsi="宋体" w:eastAsia="宋体" w:cs="宋体"/>
          <w:color w:val="0000FF"/>
          <w:sz w:val="21"/>
          <w:szCs w:val="21"/>
        </w:rPr>
        <w:fldChar w:fldCharType="separate"/>
      </w:r>
      <w:r>
        <w:rPr>
          <w:rStyle w:val="10"/>
          <w:rFonts w:hint="eastAsia" w:ascii="宋体" w:hAnsi="宋体" w:eastAsia="宋体" w:cs="宋体"/>
          <w:color w:val="0000FF"/>
          <w:sz w:val="21"/>
          <w:szCs w:val="21"/>
        </w:rPr>
        <w:t>www.usiea.org</w:t>
      </w:r>
      <w:r>
        <w:rPr>
          <w:rStyle w:val="10"/>
          <w:rFonts w:hint="eastAsia" w:ascii="宋体" w:hAnsi="宋体" w:eastAsia="宋体" w:cs="宋体"/>
          <w:color w:val="0000FF"/>
          <w:sz w:val="21"/>
          <w:szCs w:val="21"/>
        </w:rPr>
        <w:fldChar w:fldCharType="end"/>
      </w:r>
      <w:r>
        <w:rPr>
          <w:rStyle w:val="10"/>
          <w:rFonts w:hint="eastAsia" w:ascii="宋体" w:hAnsi="宋体" w:eastAsia="宋体" w:cs="宋体"/>
          <w:color w:val="0000FF"/>
          <w:sz w:val="21"/>
          <w:szCs w:val="21"/>
        </w:rPr>
        <w:t xml:space="preserve">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全美国际教育协会官微：全美国际访学微刊</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项目邮箱咨询：</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"mailto:visitucsd@yeah.net" </w:instrText>
      </w:r>
      <w:r>
        <w:rPr>
          <w:rFonts w:hint="eastAsia" w:ascii="宋体" w:hAnsi="宋体" w:eastAsia="宋体" w:cs="宋体"/>
          <w:color w:val="0000FF"/>
          <w:sz w:val="21"/>
          <w:szCs w:val="21"/>
        </w:rPr>
        <w:fldChar w:fldCharType="separate"/>
      </w:r>
      <w:r>
        <w:rPr>
          <w:rStyle w:val="10"/>
          <w:rFonts w:hint="eastAsia" w:ascii="宋体" w:hAnsi="宋体" w:eastAsia="宋体" w:cs="宋体"/>
          <w:color w:val="0000FF"/>
          <w:kern w:val="0"/>
          <w:sz w:val="21"/>
          <w:szCs w:val="21"/>
        </w:rPr>
        <w:t>visitucsd@yeah.net</w:t>
      </w:r>
      <w:r>
        <w:rPr>
          <w:rStyle w:val="10"/>
          <w:rFonts w:hint="eastAsia" w:ascii="宋体" w:hAnsi="宋体" w:eastAsia="宋体" w:cs="宋体"/>
          <w:color w:val="0000FF"/>
          <w:kern w:val="0"/>
          <w:sz w:val="21"/>
          <w:szCs w:val="21"/>
        </w:rPr>
        <w:fldChar w:fldCharType="end"/>
      </w:r>
      <w:r>
        <w:rPr>
          <w:rFonts w:hint="eastAsia" w:ascii="宋体" w:hAnsi="宋体" w:eastAsia="宋体" w:cs="宋体"/>
          <w:color w:val="0000FF"/>
          <w:kern w:val="0"/>
          <w:sz w:val="21"/>
          <w:szCs w:val="21"/>
        </w:rPr>
        <w:t xml:space="preserve"> </w:t>
      </w:r>
    </w:p>
    <w:p>
      <w:pPr>
        <w:widowControl/>
        <w:spacing w:line="360" w:lineRule="auto"/>
        <w:jc w:val="left"/>
        <w:rPr>
          <w:rFonts w:ascii="宋体" w:hAnsi="宋体" w:cs="宋体"/>
          <w:kern w:val="0"/>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78497D"/>
    <w:multiLevelType w:val="multilevel"/>
    <w:tmpl w:val="6E78497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27C"/>
    <w:rsid w:val="000035D7"/>
    <w:rsid w:val="0000495B"/>
    <w:rsid w:val="00010F31"/>
    <w:rsid w:val="000169DD"/>
    <w:rsid w:val="00022AFD"/>
    <w:rsid w:val="000230BD"/>
    <w:rsid w:val="000236D2"/>
    <w:rsid w:val="00024C64"/>
    <w:rsid w:val="0003068E"/>
    <w:rsid w:val="00030A02"/>
    <w:rsid w:val="00031403"/>
    <w:rsid w:val="00033622"/>
    <w:rsid w:val="00034FC8"/>
    <w:rsid w:val="000357E3"/>
    <w:rsid w:val="000362BD"/>
    <w:rsid w:val="000402B0"/>
    <w:rsid w:val="00041148"/>
    <w:rsid w:val="00041BDA"/>
    <w:rsid w:val="00047C08"/>
    <w:rsid w:val="000519A2"/>
    <w:rsid w:val="0005389A"/>
    <w:rsid w:val="00053FED"/>
    <w:rsid w:val="0006181E"/>
    <w:rsid w:val="00065242"/>
    <w:rsid w:val="00067B98"/>
    <w:rsid w:val="0007285B"/>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E1209"/>
    <w:rsid w:val="000E2A9C"/>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2E04"/>
    <w:rsid w:val="001834A2"/>
    <w:rsid w:val="00186190"/>
    <w:rsid w:val="00186EC2"/>
    <w:rsid w:val="00186ECD"/>
    <w:rsid w:val="001911BD"/>
    <w:rsid w:val="00192C0F"/>
    <w:rsid w:val="001A0C7A"/>
    <w:rsid w:val="001A281F"/>
    <w:rsid w:val="001A6420"/>
    <w:rsid w:val="001A7D56"/>
    <w:rsid w:val="001A7DB9"/>
    <w:rsid w:val="001B1730"/>
    <w:rsid w:val="001C1A51"/>
    <w:rsid w:val="001C6985"/>
    <w:rsid w:val="001D4042"/>
    <w:rsid w:val="001D4EF4"/>
    <w:rsid w:val="001E2EF3"/>
    <w:rsid w:val="001E31D7"/>
    <w:rsid w:val="001E5D98"/>
    <w:rsid w:val="001F095C"/>
    <w:rsid w:val="001F5524"/>
    <w:rsid w:val="001F594F"/>
    <w:rsid w:val="00202030"/>
    <w:rsid w:val="00203BFF"/>
    <w:rsid w:val="002133F2"/>
    <w:rsid w:val="0021711E"/>
    <w:rsid w:val="00220E2D"/>
    <w:rsid w:val="0022214B"/>
    <w:rsid w:val="002274D9"/>
    <w:rsid w:val="0023116D"/>
    <w:rsid w:val="0023515F"/>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402F"/>
    <w:rsid w:val="002B10AF"/>
    <w:rsid w:val="002B13C9"/>
    <w:rsid w:val="002B61DD"/>
    <w:rsid w:val="002B7076"/>
    <w:rsid w:val="002C2028"/>
    <w:rsid w:val="002C229B"/>
    <w:rsid w:val="002C27D4"/>
    <w:rsid w:val="002C45B4"/>
    <w:rsid w:val="002C6AEB"/>
    <w:rsid w:val="002C722D"/>
    <w:rsid w:val="002D04D0"/>
    <w:rsid w:val="002D30C3"/>
    <w:rsid w:val="002D76B2"/>
    <w:rsid w:val="002E1476"/>
    <w:rsid w:val="002E3299"/>
    <w:rsid w:val="002E4985"/>
    <w:rsid w:val="002E64CC"/>
    <w:rsid w:val="002F1A53"/>
    <w:rsid w:val="002F3568"/>
    <w:rsid w:val="002F7AB9"/>
    <w:rsid w:val="0030157A"/>
    <w:rsid w:val="0030295B"/>
    <w:rsid w:val="00302995"/>
    <w:rsid w:val="00303D3D"/>
    <w:rsid w:val="003062ED"/>
    <w:rsid w:val="00313788"/>
    <w:rsid w:val="00315192"/>
    <w:rsid w:val="0031712B"/>
    <w:rsid w:val="00321717"/>
    <w:rsid w:val="00321D5F"/>
    <w:rsid w:val="00342D9D"/>
    <w:rsid w:val="00342E7E"/>
    <w:rsid w:val="003620F6"/>
    <w:rsid w:val="003738EA"/>
    <w:rsid w:val="00375491"/>
    <w:rsid w:val="003822A8"/>
    <w:rsid w:val="00383DCC"/>
    <w:rsid w:val="0038560B"/>
    <w:rsid w:val="00386A4E"/>
    <w:rsid w:val="00386C51"/>
    <w:rsid w:val="00387362"/>
    <w:rsid w:val="00390FCA"/>
    <w:rsid w:val="00394A95"/>
    <w:rsid w:val="00396306"/>
    <w:rsid w:val="00397742"/>
    <w:rsid w:val="003A4511"/>
    <w:rsid w:val="003A53AB"/>
    <w:rsid w:val="003B58C3"/>
    <w:rsid w:val="003B669C"/>
    <w:rsid w:val="003B786E"/>
    <w:rsid w:val="003B7911"/>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5B94"/>
    <w:rsid w:val="00426325"/>
    <w:rsid w:val="00437A33"/>
    <w:rsid w:val="004451E7"/>
    <w:rsid w:val="0045270B"/>
    <w:rsid w:val="0045299D"/>
    <w:rsid w:val="00453EEC"/>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4A46"/>
    <w:rsid w:val="004C4FEA"/>
    <w:rsid w:val="004C5277"/>
    <w:rsid w:val="004C6632"/>
    <w:rsid w:val="004C708C"/>
    <w:rsid w:val="004D3884"/>
    <w:rsid w:val="004D5BBA"/>
    <w:rsid w:val="004E0748"/>
    <w:rsid w:val="004E4F72"/>
    <w:rsid w:val="004E728E"/>
    <w:rsid w:val="004F0AAB"/>
    <w:rsid w:val="004F743F"/>
    <w:rsid w:val="004F7C1B"/>
    <w:rsid w:val="00500A8F"/>
    <w:rsid w:val="005060F9"/>
    <w:rsid w:val="00512BAE"/>
    <w:rsid w:val="00513250"/>
    <w:rsid w:val="00522EAE"/>
    <w:rsid w:val="00525703"/>
    <w:rsid w:val="005326B5"/>
    <w:rsid w:val="005339BB"/>
    <w:rsid w:val="00533C18"/>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04B"/>
    <w:rsid w:val="00597551"/>
    <w:rsid w:val="005A31F5"/>
    <w:rsid w:val="005A65C8"/>
    <w:rsid w:val="005A689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5181B"/>
    <w:rsid w:val="00663035"/>
    <w:rsid w:val="00664055"/>
    <w:rsid w:val="00666CF9"/>
    <w:rsid w:val="00667457"/>
    <w:rsid w:val="00667A61"/>
    <w:rsid w:val="00670ED6"/>
    <w:rsid w:val="00674FBF"/>
    <w:rsid w:val="0067541F"/>
    <w:rsid w:val="006858D5"/>
    <w:rsid w:val="00687DBB"/>
    <w:rsid w:val="00696B1C"/>
    <w:rsid w:val="006A2B5F"/>
    <w:rsid w:val="006A72B8"/>
    <w:rsid w:val="006B0DE5"/>
    <w:rsid w:val="006C2070"/>
    <w:rsid w:val="006D5B15"/>
    <w:rsid w:val="006D642C"/>
    <w:rsid w:val="006F570D"/>
    <w:rsid w:val="00700EA9"/>
    <w:rsid w:val="0070255A"/>
    <w:rsid w:val="007049E6"/>
    <w:rsid w:val="00705BEF"/>
    <w:rsid w:val="00706179"/>
    <w:rsid w:val="007113DD"/>
    <w:rsid w:val="0071430B"/>
    <w:rsid w:val="00715205"/>
    <w:rsid w:val="00720659"/>
    <w:rsid w:val="00726667"/>
    <w:rsid w:val="007312DA"/>
    <w:rsid w:val="00733292"/>
    <w:rsid w:val="00741F75"/>
    <w:rsid w:val="007423FD"/>
    <w:rsid w:val="00747DC5"/>
    <w:rsid w:val="0075429E"/>
    <w:rsid w:val="00756999"/>
    <w:rsid w:val="007619AD"/>
    <w:rsid w:val="00762330"/>
    <w:rsid w:val="00770616"/>
    <w:rsid w:val="007708B9"/>
    <w:rsid w:val="00772E22"/>
    <w:rsid w:val="00775505"/>
    <w:rsid w:val="00776AE1"/>
    <w:rsid w:val="00777EFA"/>
    <w:rsid w:val="00785C31"/>
    <w:rsid w:val="007A01B4"/>
    <w:rsid w:val="007A03BE"/>
    <w:rsid w:val="007A07E5"/>
    <w:rsid w:val="007A385D"/>
    <w:rsid w:val="007A3E79"/>
    <w:rsid w:val="007A6C84"/>
    <w:rsid w:val="007A7362"/>
    <w:rsid w:val="007B40C4"/>
    <w:rsid w:val="007B5A17"/>
    <w:rsid w:val="007B7729"/>
    <w:rsid w:val="007C33E4"/>
    <w:rsid w:val="007C49F1"/>
    <w:rsid w:val="007C5080"/>
    <w:rsid w:val="007C66DE"/>
    <w:rsid w:val="007D0768"/>
    <w:rsid w:val="007D224F"/>
    <w:rsid w:val="007E0C8A"/>
    <w:rsid w:val="007E3816"/>
    <w:rsid w:val="007F5700"/>
    <w:rsid w:val="00802548"/>
    <w:rsid w:val="00802957"/>
    <w:rsid w:val="00802ED2"/>
    <w:rsid w:val="00806653"/>
    <w:rsid w:val="00814AA6"/>
    <w:rsid w:val="008208E5"/>
    <w:rsid w:val="008267EE"/>
    <w:rsid w:val="0083050D"/>
    <w:rsid w:val="00832E9B"/>
    <w:rsid w:val="00837C98"/>
    <w:rsid w:val="008432ED"/>
    <w:rsid w:val="00843F7D"/>
    <w:rsid w:val="008450F3"/>
    <w:rsid w:val="0086227D"/>
    <w:rsid w:val="00863FEE"/>
    <w:rsid w:val="0087485F"/>
    <w:rsid w:val="0088500C"/>
    <w:rsid w:val="0089014A"/>
    <w:rsid w:val="008902CF"/>
    <w:rsid w:val="00893E78"/>
    <w:rsid w:val="008966E9"/>
    <w:rsid w:val="008A1092"/>
    <w:rsid w:val="008B4A3B"/>
    <w:rsid w:val="008B5285"/>
    <w:rsid w:val="008B56E5"/>
    <w:rsid w:val="008C1F77"/>
    <w:rsid w:val="008D3CFE"/>
    <w:rsid w:val="008D5E6C"/>
    <w:rsid w:val="008D7F16"/>
    <w:rsid w:val="008E4534"/>
    <w:rsid w:val="008E54DB"/>
    <w:rsid w:val="008F1045"/>
    <w:rsid w:val="008F1578"/>
    <w:rsid w:val="008F4D20"/>
    <w:rsid w:val="00900E97"/>
    <w:rsid w:val="009018E4"/>
    <w:rsid w:val="009022C8"/>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3007"/>
    <w:rsid w:val="00954C7E"/>
    <w:rsid w:val="009554FB"/>
    <w:rsid w:val="00957EEC"/>
    <w:rsid w:val="00963696"/>
    <w:rsid w:val="00963F78"/>
    <w:rsid w:val="009642E6"/>
    <w:rsid w:val="009645E2"/>
    <w:rsid w:val="00965CCC"/>
    <w:rsid w:val="00972BCD"/>
    <w:rsid w:val="0097304E"/>
    <w:rsid w:val="0097647D"/>
    <w:rsid w:val="00983752"/>
    <w:rsid w:val="00983E87"/>
    <w:rsid w:val="00983EF6"/>
    <w:rsid w:val="00992AE7"/>
    <w:rsid w:val="009959F3"/>
    <w:rsid w:val="009A11C1"/>
    <w:rsid w:val="009A27F7"/>
    <w:rsid w:val="009A292D"/>
    <w:rsid w:val="009A4CAF"/>
    <w:rsid w:val="009A69B5"/>
    <w:rsid w:val="009A7E36"/>
    <w:rsid w:val="009B0D73"/>
    <w:rsid w:val="009B3167"/>
    <w:rsid w:val="009B3739"/>
    <w:rsid w:val="009C020C"/>
    <w:rsid w:val="009C3ED2"/>
    <w:rsid w:val="009C45FE"/>
    <w:rsid w:val="009C5D67"/>
    <w:rsid w:val="009C64A2"/>
    <w:rsid w:val="009C7A2D"/>
    <w:rsid w:val="009C7CE4"/>
    <w:rsid w:val="009D3F73"/>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5021"/>
    <w:rsid w:val="00A72E16"/>
    <w:rsid w:val="00A74591"/>
    <w:rsid w:val="00A76003"/>
    <w:rsid w:val="00A76D78"/>
    <w:rsid w:val="00A83140"/>
    <w:rsid w:val="00A83549"/>
    <w:rsid w:val="00A843DA"/>
    <w:rsid w:val="00A84830"/>
    <w:rsid w:val="00AA2334"/>
    <w:rsid w:val="00AA235B"/>
    <w:rsid w:val="00AA4DC4"/>
    <w:rsid w:val="00AB05C6"/>
    <w:rsid w:val="00AB4C27"/>
    <w:rsid w:val="00AB501B"/>
    <w:rsid w:val="00AB66D7"/>
    <w:rsid w:val="00AC32C6"/>
    <w:rsid w:val="00AC478B"/>
    <w:rsid w:val="00AD7BA1"/>
    <w:rsid w:val="00AE60EE"/>
    <w:rsid w:val="00AF0738"/>
    <w:rsid w:val="00AF5247"/>
    <w:rsid w:val="00AF78C6"/>
    <w:rsid w:val="00AF7CB4"/>
    <w:rsid w:val="00B00961"/>
    <w:rsid w:val="00B12237"/>
    <w:rsid w:val="00B12F3C"/>
    <w:rsid w:val="00B232D0"/>
    <w:rsid w:val="00B24FF7"/>
    <w:rsid w:val="00B2543C"/>
    <w:rsid w:val="00B26192"/>
    <w:rsid w:val="00B40A66"/>
    <w:rsid w:val="00B417B9"/>
    <w:rsid w:val="00B46867"/>
    <w:rsid w:val="00B50CF4"/>
    <w:rsid w:val="00B521BA"/>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49DA"/>
    <w:rsid w:val="00C05D8E"/>
    <w:rsid w:val="00C06B20"/>
    <w:rsid w:val="00C06CBE"/>
    <w:rsid w:val="00C123C3"/>
    <w:rsid w:val="00C126DF"/>
    <w:rsid w:val="00C15DBB"/>
    <w:rsid w:val="00C21148"/>
    <w:rsid w:val="00C34C29"/>
    <w:rsid w:val="00C3641F"/>
    <w:rsid w:val="00C444EA"/>
    <w:rsid w:val="00C454E2"/>
    <w:rsid w:val="00C5114A"/>
    <w:rsid w:val="00C55BB5"/>
    <w:rsid w:val="00C635A2"/>
    <w:rsid w:val="00C64953"/>
    <w:rsid w:val="00C745E3"/>
    <w:rsid w:val="00C75C2E"/>
    <w:rsid w:val="00C766EF"/>
    <w:rsid w:val="00C773FC"/>
    <w:rsid w:val="00C807AA"/>
    <w:rsid w:val="00C80EE6"/>
    <w:rsid w:val="00C817A7"/>
    <w:rsid w:val="00C8490A"/>
    <w:rsid w:val="00C861B2"/>
    <w:rsid w:val="00CA2A8B"/>
    <w:rsid w:val="00CA3FCF"/>
    <w:rsid w:val="00CA65E9"/>
    <w:rsid w:val="00CB4339"/>
    <w:rsid w:val="00CB6A55"/>
    <w:rsid w:val="00CC1890"/>
    <w:rsid w:val="00CC480B"/>
    <w:rsid w:val="00CC7003"/>
    <w:rsid w:val="00CC72C5"/>
    <w:rsid w:val="00CC7310"/>
    <w:rsid w:val="00CD332E"/>
    <w:rsid w:val="00CD7943"/>
    <w:rsid w:val="00CE0072"/>
    <w:rsid w:val="00CE06FC"/>
    <w:rsid w:val="00CE4335"/>
    <w:rsid w:val="00D03331"/>
    <w:rsid w:val="00D073EA"/>
    <w:rsid w:val="00D12776"/>
    <w:rsid w:val="00D15D05"/>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A100A"/>
    <w:rsid w:val="00DA25AD"/>
    <w:rsid w:val="00DA3278"/>
    <w:rsid w:val="00DA73E5"/>
    <w:rsid w:val="00DB0090"/>
    <w:rsid w:val="00DB1679"/>
    <w:rsid w:val="00DC2F1C"/>
    <w:rsid w:val="00DC2F84"/>
    <w:rsid w:val="00DD49C2"/>
    <w:rsid w:val="00DD4C8D"/>
    <w:rsid w:val="00DD7FB4"/>
    <w:rsid w:val="00DE3A84"/>
    <w:rsid w:val="00DF1C7E"/>
    <w:rsid w:val="00DF4AB0"/>
    <w:rsid w:val="00DF66EE"/>
    <w:rsid w:val="00DF6A47"/>
    <w:rsid w:val="00E00371"/>
    <w:rsid w:val="00E07A31"/>
    <w:rsid w:val="00E17346"/>
    <w:rsid w:val="00E1752B"/>
    <w:rsid w:val="00E23047"/>
    <w:rsid w:val="00E23270"/>
    <w:rsid w:val="00E309FD"/>
    <w:rsid w:val="00E403D4"/>
    <w:rsid w:val="00E50150"/>
    <w:rsid w:val="00E5049F"/>
    <w:rsid w:val="00E61308"/>
    <w:rsid w:val="00E61E70"/>
    <w:rsid w:val="00E67E38"/>
    <w:rsid w:val="00E727E6"/>
    <w:rsid w:val="00E745DA"/>
    <w:rsid w:val="00E76995"/>
    <w:rsid w:val="00E80E43"/>
    <w:rsid w:val="00E8311C"/>
    <w:rsid w:val="00E86FA4"/>
    <w:rsid w:val="00E87A04"/>
    <w:rsid w:val="00E922B4"/>
    <w:rsid w:val="00E97970"/>
    <w:rsid w:val="00EA4003"/>
    <w:rsid w:val="00EB0151"/>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1B4"/>
    <w:rsid w:val="00FC44B5"/>
    <w:rsid w:val="00FC6127"/>
    <w:rsid w:val="00FC7A4D"/>
    <w:rsid w:val="00FD08A0"/>
    <w:rsid w:val="00FD2E42"/>
    <w:rsid w:val="00FD4AA6"/>
    <w:rsid w:val="00FE2B9E"/>
    <w:rsid w:val="00FE5E35"/>
    <w:rsid w:val="00FE6555"/>
    <w:rsid w:val="00FF2980"/>
    <w:rsid w:val="00FF51E1"/>
    <w:rsid w:val="174C235A"/>
    <w:rsid w:val="30E42733"/>
    <w:rsid w:val="34C5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uiPriority w:val="0"/>
  </w:style>
  <w:style w:type="character" w:customStyle="1" w:styleId="15">
    <w:name w:val="已访问的超链接1"/>
    <w:uiPriority w:val="0"/>
    <w:rPr>
      <w:color w:val="800080"/>
      <w:u w:val="singl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433</Words>
  <Characters>2473</Characters>
  <Lines>20</Lines>
  <Paragraphs>5</Paragraphs>
  <TotalTime>0</TotalTime>
  <ScaleCrop>false</ScaleCrop>
  <LinksUpToDate>false</LinksUpToDate>
  <CharactersWithSpaces>2901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2017-05-05T06:06:00Z</dcterms:created>
  <dc:creator>全美国际教育协会</dc:creator>
  <cp:lastModifiedBy>Gabriella</cp:lastModifiedBy>
  <cp:lastPrinted>2011-12-16T08:54:00Z</cp:lastPrinted>
  <dcterms:modified xsi:type="dcterms:W3CDTF">2018-08-28T02:48:34Z</dcterms:modified>
  <dc:title>加州大学河滨分校短期访学项目</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