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Theme="minorHAnsi" w:hAnsiTheme="minorHAnsi" w:eastAsiaTheme="majorEastAsia" w:cstheme="minorHAnsi"/>
          <w:b/>
          <w:kern w:val="0"/>
          <w:sz w:val="32"/>
          <w:szCs w:val="21"/>
        </w:rPr>
      </w:pPr>
      <w:r>
        <w:rPr>
          <w:rFonts w:hint="eastAsia" w:asciiTheme="minorHAnsi" w:hAnsiTheme="minorHAnsi" w:eastAsiaTheme="majorEastAsia" w:cstheme="minorHAnsi"/>
          <w:b/>
          <w:kern w:val="0"/>
          <w:sz w:val="32"/>
          <w:szCs w:val="21"/>
        </w:rPr>
        <w:t>美国“</w:t>
      </w:r>
      <w:r>
        <w:rPr>
          <w:rFonts w:asciiTheme="minorHAnsi" w:hAnsiTheme="minorHAnsi" w:eastAsiaTheme="majorEastAsia" w:cstheme="minorHAnsi"/>
          <w:b/>
          <w:kern w:val="0"/>
          <w:sz w:val="32"/>
          <w:szCs w:val="21"/>
        </w:rPr>
        <w:t>常春藤</w:t>
      </w:r>
      <w:r>
        <w:rPr>
          <w:rFonts w:hint="eastAsia" w:asciiTheme="minorHAnsi" w:hAnsiTheme="minorHAnsi" w:eastAsiaTheme="majorEastAsia" w:cstheme="minorHAnsi"/>
          <w:b/>
          <w:kern w:val="0"/>
          <w:sz w:val="32"/>
          <w:szCs w:val="21"/>
        </w:rPr>
        <w:t>”</w:t>
      </w:r>
      <w:r>
        <w:rPr>
          <w:rFonts w:asciiTheme="minorHAnsi" w:hAnsiTheme="minorHAnsi" w:eastAsiaTheme="majorEastAsia" w:cstheme="minorHAnsi"/>
          <w:b/>
          <w:kern w:val="0"/>
          <w:sz w:val="32"/>
          <w:szCs w:val="21"/>
        </w:rPr>
        <w:t>名校</w:t>
      </w:r>
      <w:r>
        <w:rPr>
          <w:rFonts w:hint="eastAsia" w:asciiTheme="minorHAnsi" w:hAnsiTheme="minorHAnsi" w:eastAsiaTheme="majorEastAsia" w:cstheme="minorHAnsi"/>
          <w:b/>
          <w:kern w:val="0"/>
          <w:sz w:val="32"/>
          <w:szCs w:val="21"/>
        </w:rPr>
        <w:t>宾夕法尼亚</w:t>
      </w:r>
      <w:r>
        <w:rPr>
          <w:rFonts w:asciiTheme="minorHAnsi" w:hAnsiTheme="minorHAnsi" w:eastAsiaTheme="majorEastAsia" w:cstheme="minorHAnsi"/>
          <w:b/>
          <w:kern w:val="0"/>
          <w:sz w:val="32"/>
          <w:szCs w:val="21"/>
        </w:rPr>
        <w:t>大学</w:t>
      </w:r>
    </w:p>
    <w:p>
      <w:pPr>
        <w:widowControl/>
        <w:spacing w:line="360" w:lineRule="auto"/>
        <w:jc w:val="center"/>
        <w:rPr>
          <w:rFonts w:asciiTheme="minorHAnsi" w:hAnsiTheme="minorHAnsi" w:eastAsiaTheme="majorEastAsia" w:cstheme="minorHAnsi"/>
          <w:b/>
          <w:kern w:val="0"/>
          <w:sz w:val="32"/>
          <w:szCs w:val="21"/>
        </w:rPr>
      </w:pPr>
      <w:r>
        <w:rPr>
          <w:rFonts w:asciiTheme="minorHAnsi" w:hAnsiTheme="minorHAnsi" w:eastAsiaTheme="majorEastAsia" w:cstheme="minorHAnsi"/>
          <w:b/>
          <w:kern w:val="0"/>
          <w:sz w:val="32"/>
          <w:szCs w:val="21"/>
        </w:rPr>
        <w:t>访学</w:t>
      </w:r>
      <w:r>
        <w:rPr>
          <w:rFonts w:hint="eastAsia" w:asciiTheme="minorHAnsi" w:hAnsiTheme="minorHAnsi" w:eastAsiaTheme="majorEastAsia" w:cstheme="minorHAnsi"/>
          <w:b/>
          <w:kern w:val="0"/>
          <w:sz w:val="32"/>
          <w:szCs w:val="21"/>
        </w:rPr>
        <w:t>项目</w:t>
      </w:r>
      <w:r>
        <w:rPr>
          <w:rFonts w:asciiTheme="minorHAnsi" w:hAnsiTheme="minorHAnsi" w:eastAsiaTheme="majorEastAsia" w:cstheme="minorHAnsi"/>
          <w:b/>
          <w:kern w:val="0"/>
          <w:sz w:val="32"/>
          <w:szCs w:val="21"/>
        </w:rPr>
        <w:t>选拔通知</w:t>
      </w:r>
    </w:p>
    <w:p>
      <w:pPr>
        <w:widowControl/>
        <w:spacing w:line="360" w:lineRule="auto"/>
        <w:jc w:val="center"/>
        <w:rPr>
          <w:rFonts w:asciiTheme="minorHAnsi" w:hAnsiTheme="minorHAnsi" w:eastAsiaTheme="majorEastAsia" w:cstheme="minorHAnsi"/>
          <w:kern w:val="0"/>
          <w:szCs w:val="21"/>
        </w:rPr>
      </w:pPr>
      <w:r>
        <w:rPr>
          <w:rFonts w:asciiTheme="minorHAnsi" w:hAnsiTheme="minorHAnsi" w:eastAsiaTheme="majorEastAsia" w:cstheme="minorHAnsi"/>
          <w:kern w:val="0"/>
          <w:szCs w:val="21"/>
        </w:rPr>
        <w:t>（</w:t>
      </w:r>
      <w:r>
        <w:rPr>
          <w:rFonts w:ascii="Calibri" w:hAnsi="Calibri" w:cs="Calibri"/>
          <w:kern w:val="0"/>
          <w:szCs w:val="21"/>
        </w:rPr>
        <w:t>201</w:t>
      </w:r>
      <w:r>
        <w:rPr>
          <w:rFonts w:hint="eastAsia" w:ascii="Calibri" w:hAnsi="Calibri" w:cs="Calibri"/>
          <w:kern w:val="0"/>
          <w:szCs w:val="21"/>
        </w:rPr>
        <w:t>9</w:t>
      </w:r>
      <w:r>
        <w:rPr>
          <w:rFonts w:ascii="Calibri" w:hAnsi="Calibri" w:cs="Calibri"/>
          <w:kern w:val="0"/>
          <w:szCs w:val="21"/>
        </w:rPr>
        <w:t>年</w:t>
      </w:r>
      <w:r>
        <w:rPr>
          <w:rFonts w:hint="eastAsia" w:ascii="Calibri" w:hAnsi="Calibri" w:cs="Calibri"/>
          <w:kern w:val="0"/>
          <w:szCs w:val="21"/>
        </w:rPr>
        <w:t>春季</w:t>
      </w:r>
      <w:r>
        <w:rPr>
          <w:rFonts w:asciiTheme="minorHAnsi" w:hAnsiTheme="minorHAnsi" w:eastAsiaTheme="majorEastAsia" w:cstheme="minorHAnsi"/>
          <w:kern w:val="0"/>
          <w:szCs w:val="21"/>
        </w:rPr>
        <w:t>）</w:t>
      </w:r>
    </w:p>
    <w:p>
      <w:pPr>
        <w:widowControl/>
        <w:spacing w:line="360" w:lineRule="auto"/>
        <w:jc w:val="left"/>
        <w:rPr>
          <w:rFonts w:asciiTheme="minorHAnsi" w:hAnsiTheme="minorHAnsi" w:eastAsiaTheme="majorEastAsia" w:cstheme="minorHAnsi"/>
          <w:kern w:val="0"/>
          <w:szCs w:val="21"/>
        </w:rPr>
      </w:pPr>
      <w:r>
        <w:rPr>
          <w:rFonts w:asciiTheme="minorHAnsi" w:hAnsiTheme="minorHAnsi" w:eastAsiaTheme="majorEastAsia" w:cstheme="minorHAnsi"/>
          <w:kern w:val="0"/>
          <w:szCs w:val="21"/>
        </w:rPr>
        <w:t>各学院：</w:t>
      </w:r>
    </w:p>
    <w:p>
      <w:pPr>
        <w:widowControl/>
        <w:spacing w:line="360" w:lineRule="auto"/>
        <w:ind w:firstLine="420"/>
        <w:jc w:val="left"/>
        <w:rPr>
          <w:rFonts w:ascii="Calibri" w:hAnsi="Calibri" w:cs="Calibri"/>
          <w:szCs w:val="21"/>
        </w:rPr>
      </w:pPr>
      <w:r>
        <w:rPr>
          <w:rFonts w:asciiTheme="minorHAnsi" w:hAnsiTheme="minorHAnsi" w:eastAsiaTheme="majorEastAsia" w:cstheme="minorHAnsi"/>
          <w:kern w:val="0"/>
          <w:szCs w:val="21"/>
        </w:rPr>
        <w:t>依据我校发展国际化教育的方针和校际合作协议，</w:t>
      </w:r>
      <w:r>
        <w:rPr>
          <w:rFonts w:hint="eastAsia" w:asciiTheme="minorHAnsi" w:hAnsiTheme="minorHAnsi" w:eastAsiaTheme="majorEastAsia" w:cstheme="minorHAnsi"/>
          <w:kern w:val="0"/>
          <w:szCs w:val="21"/>
        </w:rPr>
        <w:t>为实施我校的教育国际化战略，培养具有国际视野和国际竞争力的高素质人才，鼓励我校学生出国（境）深造获得第二校园的学习经历，</w:t>
      </w:r>
      <w:r>
        <w:rPr>
          <w:rFonts w:ascii="Calibri" w:hAnsi="Calibri" w:cs="Calibri"/>
          <w:kern w:val="0"/>
          <w:szCs w:val="21"/>
        </w:rPr>
        <w:t>201</w:t>
      </w:r>
      <w:r>
        <w:rPr>
          <w:rFonts w:hint="eastAsia" w:ascii="Calibri" w:hAnsi="Calibri" w:cs="Calibri"/>
          <w:kern w:val="0"/>
          <w:szCs w:val="21"/>
        </w:rPr>
        <w:t>9</w:t>
      </w:r>
      <w:r>
        <w:rPr>
          <w:rFonts w:ascii="Calibri" w:hAnsi="Calibri" w:cs="Calibri"/>
          <w:kern w:val="0"/>
          <w:szCs w:val="21"/>
        </w:rPr>
        <w:t>年</w:t>
      </w:r>
      <w:r>
        <w:rPr>
          <w:rFonts w:hint="eastAsia" w:ascii="Calibri" w:hAnsi="Calibri" w:cs="Calibri"/>
          <w:kern w:val="0"/>
          <w:szCs w:val="21"/>
        </w:rPr>
        <w:t>春</w:t>
      </w:r>
      <w:r>
        <w:rPr>
          <w:rFonts w:ascii="Calibri" w:hAnsi="Calibri" w:cs="Calibri"/>
          <w:kern w:val="0"/>
          <w:szCs w:val="21"/>
        </w:rPr>
        <w:t>季</w:t>
      </w:r>
      <w:r>
        <w:rPr>
          <w:rFonts w:hint="eastAsia" w:ascii="Calibri" w:hAnsi="Calibri" w:cs="Calibri"/>
          <w:kern w:val="0"/>
          <w:szCs w:val="21"/>
        </w:rPr>
        <w:t>，</w:t>
      </w:r>
      <w:r>
        <w:rPr>
          <w:rFonts w:ascii="Calibri" w:hAnsi="Calibri" w:cs="Calibri"/>
          <w:szCs w:val="21"/>
        </w:rPr>
        <w:t>我校将选派指定名额的优秀在校生</w:t>
      </w:r>
      <w:r>
        <w:rPr>
          <w:rFonts w:hint="eastAsia" w:ascii="Calibri" w:hAnsi="Calibri" w:cs="Calibri"/>
          <w:szCs w:val="21"/>
        </w:rPr>
        <w:t>前往常春藤名校美国宾夕法尼亚</w:t>
      </w:r>
      <w:r>
        <w:rPr>
          <w:rFonts w:ascii="Calibri" w:hAnsi="Calibri" w:cs="Calibri"/>
          <w:szCs w:val="21"/>
        </w:rPr>
        <w:t>大学</w:t>
      </w:r>
      <w:r>
        <w:rPr>
          <w:rFonts w:hint="eastAsia" w:ascii="Calibri" w:hAnsi="Calibri" w:cs="Calibri"/>
          <w:bCs/>
          <w:kern w:val="0"/>
          <w:szCs w:val="21"/>
        </w:rPr>
        <w:t>（University of Pennsylvania）</w:t>
      </w:r>
      <w:r>
        <w:rPr>
          <w:rFonts w:hint="eastAsia" w:ascii="Calibri" w:hAnsi="Calibri" w:cs="Calibri"/>
          <w:szCs w:val="21"/>
        </w:rPr>
        <w:t>，参加为期一学期的</w:t>
      </w:r>
      <w:r>
        <w:rPr>
          <w:rFonts w:ascii="Calibri" w:hAnsi="Calibri" w:cs="Calibri"/>
          <w:szCs w:val="21"/>
        </w:rPr>
        <w:t>访问学习</w:t>
      </w:r>
      <w:r>
        <w:rPr>
          <w:rFonts w:hint="eastAsia" w:ascii="Calibri" w:hAnsi="Calibri" w:cs="Calibri"/>
          <w:szCs w:val="21"/>
        </w:rPr>
        <w:t>。</w:t>
      </w:r>
    </w:p>
    <w:p>
      <w:pPr>
        <w:widowControl/>
        <w:spacing w:line="360" w:lineRule="auto"/>
        <w:jc w:val="left"/>
        <w:rPr>
          <w:rFonts w:asciiTheme="minorHAnsi" w:hAnsiTheme="minorHAnsi" w:eastAsiaTheme="majorEastAsia" w:cstheme="minorHAnsi"/>
          <w:color w:val="000000"/>
          <w:szCs w:val="21"/>
        </w:rPr>
      </w:pPr>
      <w:r>
        <w:drawing>
          <wp:inline distT="0" distB="0" distL="114300" distR="114300">
            <wp:extent cx="5308600" cy="2066290"/>
            <wp:effectExtent l="0" t="0" r="0" b="3810"/>
            <wp:docPr id="5" name="图片 5" descr="宾大校园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宾大校园1"/>
                    <pic:cNvPicPr>
                      <a:picLocks noChangeAspect="1"/>
                    </pic:cNvPicPr>
                  </pic:nvPicPr>
                  <pic:blipFill>
                    <a:blip r:embed="rId5"/>
                    <a:stretch>
                      <a:fillRect/>
                    </a:stretch>
                  </pic:blipFill>
                  <pic:spPr>
                    <a:xfrm>
                      <a:off x="0" y="0"/>
                      <a:ext cx="5308600" cy="2066290"/>
                    </a:xfrm>
                    <a:prstGeom prst="rect">
                      <a:avLst/>
                    </a:prstGeom>
                  </pic:spPr>
                </pic:pic>
              </a:graphicData>
            </a:graphic>
          </wp:inline>
        </w:drawing>
      </w:r>
    </w:p>
    <w:p>
      <w:pPr>
        <w:widowControl/>
        <w:numPr>
          <w:ilvl w:val="0"/>
          <w:numId w:val="1"/>
        </w:numPr>
        <w:spacing w:line="360" w:lineRule="auto"/>
        <w:jc w:val="left"/>
        <w:rPr>
          <w:rFonts w:asciiTheme="minorHAnsi" w:hAnsiTheme="minorHAnsi" w:eastAsiaTheme="majorEastAsia" w:cstheme="minorHAnsi"/>
          <w:b/>
          <w:bCs/>
          <w:kern w:val="0"/>
          <w:szCs w:val="21"/>
        </w:rPr>
      </w:pPr>
      <w:r>
        <w:rPr>
          <w:rFonts w:hint="eastAsia" w:asciiTheme="minorHAnsi" w:hAnsiTheme="minorHAnsi" w:eastAsiaTheme="majorEastAsia" w:cstheme="minorHAnsi"/>
          <w:b/>
          <w:bCs/>
          <w:kern w:val="0"/>
          <w:szCs w:val="21"/>
        </w:rPr>
        <w:t>宾夕法尼亚大学简介</w:t>
      </w:r>
    </w:p>
    <w:p>
      <w:pPr>
        <w:pStyle w:val="19"/>
        <w:widowControl/>
        <w:numPr>
          <w:ilvl w:val="0"/>
          <w:numId w:val="2"/>
        </w:numPr>
        <w:spacing w:line="360" w:lineRule="auto"/>
        <w:ind w:firstLineChars="0"/>
        <w:jc w:val="left"/>
        <w:rPr>
          <w:rFonts w:asciiTheme="minorHAnsi" w:hAnsiTheme="minorHAnsi" w:cstheme="minorHAnsi"/>
          <w:kern w:val="0"/>
          <w:szCs w:val="21"/>
        </w:rPr>
      </w:pPr>
      <w:r>
        <w:rPr>
          <w:rFonts w:hint="eastAsia" w:asciiTheme="minorHAnsi" w:hAnsiTheme="minorHAnsi" w:cstheme="minorHAnsi"/>
          <w:kern w:val="0"/>
          <w:szCs w:val="21"/>
        </w:rPr>
        <w:t>创建于1740年，位于美国的历史名城费城，是美国第四古老的高等教育机构，也是美国第一所现代意义上的大学，创立了北美第一所医学院、第一所商学院（沃顿商学院）以及第一个学生会组织；</w:t>
      </w:r>
    </w:p>
    <w:p>
      <w:pPr>
        <w:pStyle w:val="19"/>
        <w:widowControl/>
        <w:numPr>
          <w:ilvl w:val="0"/>
          <w:numId w:val="2"/>
        </w:numPr>
        <w:spacing w:line="360" w:lineRule="auto"/>
        <w:ind w:firstLineChars="0"/>
        <w:jc w:val="left"/>
        <w:rPr>
          <w:rFonts w:asciiTheme="minorHAnsi" w:hAnsiTheme="minorHAnsi" w:cstheme="minorHAnsi"/>
          <w:kern w:val="0"/>
          <w:szCs w:val="21"/>
        </w:rPr>
      </w:pPr>
      <w:r>
        <w:rPr>
          <w:rFonts w:hint="eastAsia" w:asciiTheme="minorHAnsi" w:hAnsiTheme="minorHAnsi" w:cstheme="minorHAnsi"/>
          <w:kern w:val="0"/>
          <w:szCs w:val="21"/>
        </w:rPr>
        <w:t>与耶鲁、哈佛、普林斯顿、康乃尔等八所大学共同组成“常春藤联盟(Ivy League)”，成为世界顶尖学府的代名词；</w:t>
      </w:r>
    </w:p>
    <w:p>
      <w:pPr>
        <w:pStyle w:val="19"/>
        <w:widowControl/>
        <w:numPr>
          <w:ilvl w:val="0"/>
          <w:numId w:val="2"/>
        </w:numPr>
        <w:spacing w:line="360" w:lineRule="auto"/>
        <w:ind w:firstLineChars="0"/>
        <w:jc w:val="left"/>
        <w:rPr>
          <w:rFonts w:asciiTheme="minorHAnsi" w:hAnsiTheme="minorHAnsi" w:eastAsiaTheme="majorEastAsia" w:cstheme="minorHAnsi"/>
          <w:szCs w:val="21"/>
        </w:rPr>
      </w:pPr>
      <w:r>
        <w:rPr>
          <w:rFonts w:asciiTheme="minorHAnsi" w:hAnsiTheme="minorHAnsi" w:eastAsiaTheme="majorEastAsia" w:cstheme="minorHAnsi"/>
          <w:szCs w:val="21"/>
        </w:rPr>
        <w:t>201</w:t>
      </w:r>
      <w:r>
        <w:rPr>
          <w:rFonts w:hint="eastAsia" w:asciiTheme="minorHAnsi" w:hAnsiTheme="minorHAnsi" w:eastAsiaTheme="majorEastAsia" w:cstheme="minorHAnsi"/>
          <w:szCs w:val="21"/>
        </w:rPr>
        <w:t>8</w:t>
      </w:r>
      <w:r>
        <w:rPr>
          <w:rFonts w:asciiTheme="minorHAnsi" w:hAnsiTheme="minorHAnsi" w:eastAsiaTheme="majorEastAsia" w:cstheme="minorHAnsi"/>
          <w:szCs w:val="21"/>
        </w:rPr>
        <w:t>年</w:t>
      </w:r>
      <w:r>
        <w:rPr>
          <w:rFonts w:hint="eastAsia" w:asciiTheme="minorHAnsi" w:hAnsiTheme="minorHAnsi" w:eastAsiaTheme="majorEastAsia" w:cstheme="minorHAnsi"/>
          <w:szCs w:val="21"/>
        </w:rPr>
        <w:t xml:space="preserve"> </w:t>
      </w:r>
      <w:r>
        <w:rPr>
          <w:rFonts w:asciiTheme="minorHAnsi" w:hAnsiTheme="minorHAnsi" w:cstheme="minorHAnsi"/>
          <w:kern w:val="0"/>
          <w:szCs w:val="21"/>
        </w:rPr>
        <w:t>《美国新闻与世界报道》全</w:t>
      </w:r>
      <w:r>
        <w:rPr>
          <w:rFonts w:asciiTheme="minorHAnsi" w:hAnsiTheme="minorHAnsi" w:eastAsiaTheme="majorEastAsia" w:cstheme="minorHAnsi"/>
          <w:szCs w:val="21"/>
        </w:rPr>
        <w:t>美高校综合排名第</w:t>
      </w:r>
      <w:r>
        <w:rPr>
          <w:rFonts w:hint="eastAsia" w:asciiTheme="minorHAnsi" w:hAnsiTheme="minorHAnsi" w:eastAsiaTheme="majorEastAsia" w:cstheme="minorHAnsi"/>
          <w:szCs w:val="21"/>
        </w:rPr>
        <w:t>8、世界大学排名第19</w:t>
      </w:r>
      <w:r>
        <w:rPr>
          <w:rFonts w:asciiTheme="minorHAnsi" w:hAnsiTheme="minorHAnsi" w:eastAsiaTheme="majorEastAsia" w:cstheme="minorHAnsi"/>
          <w:szCs w:val="21"/>
        </w:rPr>
        <w:t>；</w:t>
      </w:r>
      <w:r>
        <w:rPr>
          <w:rFonts w:asciiTheme="minorHAnsi" w:hAnsiTheme="minorHAnsi" w:cstheme="minorHAnsi"/>
          <w:szCs w:val="21"/>
        </w:rPr>
        <w:t>201</w:t>
      </w:r>
      <w:r>
        <w:rPr>
          <w:rFonts w:hint="eastAsia" w:asciiTheme="minorHAnsi" w:hAnsiTheme="minorHAnsi" w:cstheme="minorHAnsi"/>
          <w:szCs w:val="21"/>
        </w:rPr>
        <w:t>8年Times</w:t>
      </w:r>
      <w:r>
        <w:rPr>
          <w:rFonts w:asciiTheme="minorHAnsi" w:hAnsiTheme="minorHAnsi" w:cstheme="minorHAnsi"/>
          <w:szCs w:val="21"/>
        </w:rPr>
        <w:t>世界大学排名第</w:t>
      </w:r>
      <w:r>
        <w:rPr>
          <w:rFonts w:asciiTheme="minorHAnsi" w:hAnsiTheme="minorHAnsi" w:eastAsiaTheme="majorEastAsia" w:cstheme="minorHAnsi"/>
          <w:szCs w:val="21"/>
        </w:rPr>
        <w:t>1</w:t>
      </w:r>
      <w:r>
        <w:rPr>
          <w:rFonts w:hint="eastAsia" w:asciiTheme="minorHAnsi" w:hAnsiTheme="minorHAnsi" w:eastAsiaTheme="majorEastAsia" w:cstheme="minorHAnsi"/>
          <w:szCs w:val="21"/>
        </w:rPr>
        <w:t>0；2017年</w:t>
      </w:r>
      <w:r>
        <w:rPr>
          <w:rFonts w:asciiTheme="minorHAnsi" w:hAnsiTheme="minorHAnsi" w:cstheme="minorHAnsi"/>
          <w:szCs w:val="21"/>
        </w:rPr>
        <w:t>上海交通大学</w:t>
      </w:r>
      <w:r>
        <w:rPr>
          <w:rFonts w:asciiTheme="minorHAnsi" w:hAnsiTheme="minorHAnsi" w:eastAsiaTheme="majorEastAsia" w:cstheme="minorHAnsi"/>
          <w:szCs w:val="21"/>
        </w:rPr>
        <w:t>全球高校学术排名第</w:t>
      </w:r>
      <w:r>
        <w:rPr>
          <w:rFonts w:hint="eastAsia" w:asciiTheme="minorHAnsi" w:hAnsiTheme="minorHAnsi" w:eastAsiaTheme="majorEastAsia" w:cstheme="minorHAnsi"/>
          <w:szCs w:val="21"/>
        </w:rPr>
        <w:t>17</w:t>
      </w:r>
      <w:r>
        <w:rPr>
          <w:rFonts w:asciiTheme="minorHAnsi" w:hAnsiTheme="minorHAnsi" w:eastAsiaTheme="majorEastAsia" w:cstheme="minorHAnsi"/>
          <w:szCs w:val="21"/>
        </w:rPr>
        <w:t xml:space="preserve">； </w:t>
      </w:r>
    </w:p>
    <w:p>
      <w:pPr>
        <w:pStyle w:val="19"/>
        <w:widowControl/>
        <w:numPr>
          <w:ilvl w:val="0"/>
          <w:numId w:val="2"/>
        </w:numPr>
        <w:spacing w:line="360" w:lineRule="auto"/>
        <w:ind w:firstLineChars="0"/>
        <w:jc w:val="left"/>
        <w:rPr>
          <w:rFonts w:asciiTheme="minorHAnsi" w:hAnsiTheme="minorHAnsi" w:cstheme="minorHAnsi"/>
          <w:kern w:val="0"/>
          <w:szCs w:val="21"/>
        </w:rPr>
      </w:pPr>
      <w:r>
        <w:rPr>
          <w:rFonts w:hint="eastAsia" w:asciiTheme="minorHAnsi" w:hAnsiTheme="minorHAnsi" w:eastAsiaTheme="majorEastAsia" w:cstheme="minorHAnsi"/>
          <w:szCs w:val="21"/>
        </w:rPr>
        <w:t>下设四个大本科生院：文理学院、工程学院、商学院及护理学院。</w:t>
      </w:r>
      <w:r>
        <w:rPr>
          <w:rFonts w:hint="eastAsia" w:asciiTheme="minorHAnsi" w:hAnsiTheme="minorHAnsi" w:cstheme="minorHAnsi"/>
          <w:kern w:val="0"/>
          <w:szCs w:val="21"/>
        </w:rPr>
        <w:t>金融专业和护理专业排名全美第一，教育学、经济学、医疗、历史学、法学、英语及商科其它专业皆排名全美前十。</w:t>
      </w:r>
    </w:p>
    <w:p>
      <w:pPr>
        <w:pStyle w:val="19"/>
        <w:numPr>
          <w:ilvl w:val="0"/>
          <w:numId w:val="1"/>
        </w:numPr>
        <w:spacing w:line="360" w:lineRule="auto"/>
        <w:ind w:firstLineChars="0"/>
        <w:rPr>
          <w:rFonts w:asciiTheme="minorHAnsi" w:hAnsiTheme="minorHAnsi" w:eastAsiaTheme="majorEastAsia" w:cstheme="minorHAnsi"/>
          <w:b/>
          <w:bCs/>
          <w:kern w:val="0"/>
          <w:szCs w:val="21"/>
        </w:rPr>
      </w:pPr>
      <w:r>
        <w:rPr>
          <w:rFonts w:asciiTheme="minorHAnsi" w:hAnsiTheme="minorHAnsi" w:eastAsiaTheme="majorEastAsia" w:cstheme="minorHAnsi"/>
          <w:b/>
          <w:szCs w:val="21"/>
        </w:rPr>
        <w:t>访学</w:t>
      </w:r>
      <w:r>
        <w:rPr>
          <w:rFonts w:hint="eastAsia" w:asciiTheme="minorHAnsi" w:hAnsiTheme="minorHAnsi" w:eastAsiaTheme="majorEastAsia" w:cstheme="minorHAnsi"/>
          <w:b/>
          <w:szCs w:val="21"/>
        </w:rPr>
        <w:t>项目介绍</w:t>
      </w:r>
    </w:p>
    <w:p>
      <w:pPr>
        <w:widowControl/>
        <w:spacing w:line="360" w:lineRule="auto"/>
        <w:jc w:val="left"/>
        <w:rPr>
          <w:rFonts w:asciiTheme="minorHAnsi" w:hAnsiTheme="minorHAnsi" w:eastAsiaTheme="majorEastAsia" w:cstheme="minorHAnsi"/>
          <w:b/>
          <w:bCs/>
          <w:kern w:val="0"/>
          <w:szCs w:val="21"/>
        </w:rPr>
      </w:pPr>
      <w:r>
        <w:rPr>
          <w:rFonts w:cs="Calibri" w:asciiTheme="minorHAnsi" w:hAnsiTheme="minorHAnsi"/>
          <w:szCs w:val="21"/>
        </w:rPr>
        <w:t>【</w:t>
      </w:r>
      <w:r>
        <w:rPr>
          <w:rFonts w:cs="Calibri" w:asciiTheme="minorHAnsi" w:hAnsiTheme="minorHAnsi"/>
          <w:b/>
          <w:szCs w:val="21"/>
        </w:rPr>
        <w:t>项目</w:t>
      </w:r>
      <w:r>
        <w:rPr>
          <w:rFonts w:hint="eastAsia" w:cs="Calibri" w:asciiTheme="minorHAnsi" w:hAnsiTheme="minorHAnsi"/>
          <w:b/>
          <w:szCs w:val="21"/>
        </w:rPr>
        <w:t>概览</w:t>
      </w:r>
      <w:r>
        <w:rPr>
          <w:rFonts w:cs="Calibri" w:asciiTheme="minorHAnsi" w:hAnsiTheme="minorHAnsi"/>
          <w:szCs w:val="21"/>
        </w:rPr>
        <w:t>】</w:t>
      </w:r>
    </w:p>
    <w:p>
      <w:pPr>
        <w:widowControl/>
        <w:spacing w:line="360" w:lineRule="auto"/>
        <w:ind w:firstLine="420" w:firstLineChars="200"/>
        <w:jc w:val="left"/>
        <w:rPr>
          <w:rFonts w:asciiTheme="minorHAnsi" w:hAnsiTheme="minorHAnsi" w:eastAsiaTheme="majorEastAsia" w:cstheme="minorHAnsi"/>
          <w:szCs w:val="21"/>
        </w:rPr>
      </w:pPr>
      <w:r>
        <w:rPr>
          <w:rFonts w:asciiTheme="minorHAnsi" w:hAnsiTheme="minorHAnsi" w:eastAsiaTheme="majorEastAsia" w:cstheme="minorHAnsi"/>
          <w:szCs w:val="21"/>
        </w:rPr>
        <w:t>根据学习目标、英</w:t>
      </w:r>
      <w:r>
        <w:rPr>
          <w:rFonts w:hint="eastAsia" w:asciiTheme="minorHAnsi" w:hAnsiTheme="minorHAnsi" w:eastAsiaTheme="majorEastAsia" w:cstheme="minorHAnsi"/>
          <w:szCs w:val="21"/>
        </w:rPr>
        <w:t>语</w:t>
      </w:r>
      <w:r>
        <w:rPr>
          <w:rFonts w:asciiTheme="minorHAnsi" w:hAnsiTheme="minorHAnsi" w:eastAsiaTheme="majorEastAsia" w:cstheme="minorHAnsi"/>
          <w:szCs w:val="21"/>
        </w:rPr>
        <w:t>水平和专业背景的不同，</w:t>
      </w:r>
      <w:r>
        <w:rPr>
          <w:rFonts w:hint="eastAsia" w:asciiTheme="minorHAnsi" w:hAnsiTheme="minorHAnsi" w:eastAsiaTheme="majorEastAsia" w:cstheme="minorHAnsi"/>
          <w:szCs w:val="21"/>
        </w:rPr>
        <w:t>参加宾夕法尼亚大学2019年春季访学项目的学生可选报两类课程</w:t>
      </w:r>
      <w:r>
        <w:rPr>
          <w:rFonts w:asciiTheme="minorHAnsi" w:hAnsiTheme="minorHAnsi" w:eastAsiaTheme="majorEastAsia" w:cstheme="minorHAnsi"/>
          <w:szCs w:val="21"/>
        </w:rPr>
        <w:t>：</w:t>
      </w:r>
      <w:r>
        <w:rPr>
          <w:rFonts w:hint="eastAsia" w:asciiTheme="minorHAnsi" w:hAnsiTheme="minorHAnsi" w:eastAsiaTheme="majorEastAsia" w:cstheme="minorHAnsi"/>
          <w:szCs w:val="21"/>
          <w:u w:val="single"/>
        </w:rPr>
        <w:t>语言文化课程</w:t>
      </w:r>
      <w:r>
        <w:rPr>
          <w:rFonts w:hint="eastAsia" w:asciiTheme="minorHAnsi" w:hAnsiTheme="minorHAnsi" w:eastAsiaTheme="majorEastAsia" w:cstheme="minorHAnsi"/>
          <w:szCs w:val="21"/>
        </w:rPr>
        <w:t>与</w:t>
      </w:r>
      <w:r>
        <w:rPr>
          <w:rFonts w:hint="eastAsia" w:asciiTheme="minorHAnsi" w:hAnsiTheme="minorHAnsi" w:eastAsiaTheme="majorEastAsia" w:cstheme="minorHAnsi"/>
          <w:szCs w:val="21"/>
          <w:u w:val="single"/>
        </w:rPr>
        <w:t>大学专业学分课程</w:t>
      </w:r>
      <w:r>
        <w:rPr>
          <w:rFonts w:hint="eastAsia" w:asciiTheme="minorHAnsi" w:hAnsiTheme="minorHAnsi" w:eastAsiaTheme="majorEastAsia" w:cstheme="minorHAnsi"/>
          <w:szCs w:val="21"/>
        </w:rPr>
        <w:t>。参加项目的学生与宾夕法尼亚大学在读学生混合编班，由宾大进行统一的学术管理与学术考核，获得宾大正式的成绩单及学习证明。</w:t>
      </w:r>
    </w:p>
    <w:p>
      <w:pPr>
        <w:widowControl/>
        <w:jc w:val="left"/>
        <w:rPr>
          <w:rFonts w:cs="Calibri" w:asciiTheme="minorHAnsi" w:hAnsiTheme="minorHAnsi"/>
          <w:szCs w:val="21"/>
        </w:rPr>
      </w:pPr>
    </w:p>
    <w:p>
      <w:pPr>
        <w:widowControl/>
        <w:jc w:val="left"/>
        <w:rPr>
          <w:rFonts w:cs="Calibri" w:asciiTheme="minorHAnsi" w:hAnsiTheme="minorHAnsi"/>
          <w:szCs w:val="21"/>
        </w:rPr>
      </w:pPr>
      <w:r>
        <w:rPr>
          <w:rFonts w:cs="Calibri" w:asciiTheme="minorHAnsi" w:hAnsiTheme="minorHAnsi"/>
          <w:szCs w:val="21"/>
        </w:rPr>
        <w:t>【</w:t>
      </w:r>
      <w:r>
        <w:rPr>
          <w:rFonts w:hint="eastAsia" w:cs="Calibri" w:asciiTheme="minorHAnsi" w:hAnsiTheme="minorHAnsi"/>
          <w:b/>
          <w:szCs w:val="21"/>
        </w:rPr>
        <w:t>课程内容</w:t>
      </w:r>
      <w:r>
        <w:rPr>
          <w:rFonts w:cs="Calibri" w:asciiTheme="minorHAnsi" w:hAnsiTheme="minorHAnsi"/>
          <w:szCs w:val="21"/>
        </w:rPr>
        <w:t>】</w:t>
      </w:r>
    </w:p>
    <w:p>
      <w:pPr>
        <w:widowControl/>
        <w:spacing w:line="360" w:lineRule="auto"/>
        <w:jc w:val="left"/>
        <w:rPr>
          <w:rFonts w:asciiTheme="minorHAnsi" w:hAnsiTheme="minorHAnsi" w:eastAsiaTheme="majorEastAsia" w:cstheme="minorHAnsi"/>
          <w:szCs w:val="21"/>
          <w:u w:val="single"/>
        </w:rPr>
      </w:pPr>
      <w:r>
        <w:rPr>
          <w:rFonts w:asciiTheme="minorHAnsi" w:hAnsiTheme="minorHAnsi" w:eastAsiaTheme="majorEastAsia" w:cstheme="minorHAnsi"/>
          <w:szCs w:val="21"/>
          <w:u w:val="single"/>
        </w:rPr>
        <w:t>第一</w:t>
      </w:r>
      <w:r>
        <w:rPr>
          <w:rFonts w:hint="eastAsia" w:asciiTheme="minorHAnsi" w:hAnsiTheme="minorHAnsi" w:eastAsiaTheme="majorEastAsia" w:cstheme="minorHAnsi"/>
          <w:szCs w:val="21"/>
          <w:u w:val="single"/>
        </w:rPr>
        <w:t>类</w:t>
      </w:r>
      <w:r>
        <w:rPr>
          <w:rFonts w:asciiTheme="minorHAnsi" w:hAnsiTheme="minorHAnsi" w:eastAsiaTheme="majorEastAsia" w:cstheme="minorHAnsi"/>
          <w:szCs w:val="21"/>
          <w:u w:val="single"/>
        </w:rPr>
        <w:t>：</w:t>
      </w:r>
      <w:r>
        <w:rPr>
          <w:rFonts w:hint="eastAsia" w:asciiTheme="minorHAnsi" w:hAnsiTheme="minorHAnsi" w:eastAsiaTheme="majorEastAsia" w:cstheme="minorHAnsi"/>
          <w:szCs w:val="21"/>
          <w:u w:val="single"/>
        </w:rPr>
        <w:t>语言</w:t>
      </w:r>
      <w:r>
        <w:rPr>
          <w:rFonts w:asciiTheme="minorHAnsi" w:hAnsiTheme="minorHAnsi" w:eastAsiaTheme="majorEastAsia" w:cstheme="minorHAnsi"/>
          <w:szCs w:val="21"/>
          <w:u w:val="single"/>
        </w:rPr>
        <w:t>文化课程</w:t>
      </w:r>
    </w:p>
    <w:p>
      <w:pPr>
        <w:widowControl/>
        <w:spacing w:line="360" w:lineRule="auto"/>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 xml:space="preserve">日期：2019年2月28日 </w:t>
      </w:r>
      <w:r>
        <w:rPr>
          <w:rFonts w:asciiTheme="minorHAnsi" w:hAnsiTheme="minorHAnsi" w:eastAsiaTheme="majorEastAsia" w:cstheme="minorHAnsi"/>
          <w:szCs w:val="21"/>
        </w:rPr>
        <w:t>—</w:t>
      </w:r>
      <w:r>
        <w:rPr>
          <w:rFonts w:hint="eastAsia" w:asciiTheme="minorHAnsi" w:hAnsiTheme="minorHAnsi" w:eastAsiaTheme="majorEastAsia" w:cstheme="minorHAnsi"/>
          <w:szCs w:val="21"/>
        </w:rPr>
        <w:t xml:space="preserve"> 6月14日</w:t>
      </w:r>
    </w:p>
    <w:p>
      <w:pPr>
        <w:widowControl/>
        <w:spacing w:line="360" w:lineRule="auto"/>
        <w:ind w:firstLine="420" w:firstLineChars="200"/>
        <w:jc w:val="left"/>
        <w:rPr>
          <w:rFonts w:asciiTheme="minorHAnsi" w:hAnsiTheme="minorHAnsi" w:eastAsiaTheme="majorEastAsia" w:cstheme="minorHAnsi"/>
          <w:kern w:val="0"/>
          <w:szCs w:val="21"/>
        </w:rPr>
      </w:pPr>
      <w:r>
        <w:rPr>
          <w:rFonts w:hint="eastAsia" w:asciiTheme="minorHAnsi" w:hAnsiTheme="minorHAnsi" w:eastAsiaTheme="majorEastAsia" w:cstheme="minorHAnsi"/>
          <w:kern w:val="0"/>
          <w:szCs w:val="21"/>
        </w:rPr>
        <w:t>宾夕法尼亚大学语言中心隶属于宾大文理学院，成立于1960年，50多年来积累了丰富英语教学的经验。 每年有来自世界各地2000多名学生在此学习，中国学生比例仅为7%左右。</w:t>
      </w:r>
      <w:r>
        <w:rPr>
          <w:rFonts w:asciiTheme="minorHAnsi" w:hAnsiTheme="minorHAnsi" w:eastAsiaTheme="majorEastAsia" w:cstheme="minorHAnsi"/>
          <w:szCs w:val="21"/>
        </w:rPr>
        <w:t>通过</w:t>
      </w:r>
      <w:r>
        <w:rPr>
          <w:rFonts w:asciiTheme="minorHAnsi" w:hAnsiTheme="minorHAnsi" w:eastAsiaTheme="majorEastAsia" w:cstheme="minorHAnsi"/>
          <w:kern w:val="0"/>
          <w:szCs w:val="21"/>
        </w:rPr>
        <w:t>与来自世界各地的同学一起学习，项目学生能够</w:t>
      </w:r>
      <w:r>
        <w:rPr>
          <w:rFonts w:hint="eastAsia" w:asciiTheme="minorHAnsi" w:hAnsiTheme="minorHAnsi" w:eastAsiaTheme="majorEastAsia" w:cstheme="minorHAnsi"/>
          <w:kern w:val="0"/>
          <w:szCs w:val="21"/>
        </w:rPr>
        <w:t>快速提高英语应用能力与沟通交流能力，同时</w:t>
      </w:r>
      <w:r>
        <w:rPr>
          <w:rFonts w:asciiTheme="minorHAnsi" w:hAnsiTheme="minorHAnsi" w:eastAsiaTheme="majorEastAsia" w:cstheme="minorHAnsi"/>
          <w:kern w:val="0"/>
          <w:szCs w:val="21"/>
        </w:rPr>
        <w:t>了解美国社会</w:t>
      </w:r>
      <w:r>
        <w:rPr>
          <w:rFonts w:hint="eastAsia" w:asciiTheme="minorHAnsi" w:hAnsiTheme="minorHAnsi" w:eastAsiaTheme="majorEastAsia" w:cstheme="minorHAnsi"/>
          <w:kern w:val="0"/>
          <w:szCs w:val="21"/>
        </w:rPr>
        <w:t>，</w:t>
      </w:r>
      <w:r>
        <w:rPr>
          <w:rFonts w:asciiTheme="minorHAnsi" w:hAnsiTheme="minorHAnsi" w:eastAsiaTheme="majorEastAsia" w:cstheme="minorHAnsi"/>
          <w:kern w:val="0"/>
          <w:szCs w:val="21"/>
        </w:rPr>
        <w:t>增进对不同文化的认识和理解</w:t>
      </w:r>
      <w:r>
        <w:rPr>
          <w:rFonts w:hint="eastAsia" w:asciiTheme="minorHAnsi" w:hAnsiTheme="minorHAnsi" w:eastAsiaTheme="majorEastAsia" w:cstheme="minorHAnsi"/>
          <w:kern w:val="0"/>
          <w:szCs w:val="21"/>
        </w:rPr>
        <w:t>，</w:t>
      </w:r>
      <w:r>
        <w:rPr>
          <w:rFonts w:asciiTheme="minorHAnsi" w:hAnsiTheme="minorHAnsi" w:eastAsiaTheme="majorEastAsia" w:cstheme="minorHAnsi"/>
          <w:kern w:val="0"/>
          <w:szCs w:val="21"/>
        </w:rPr>
        <w:t>提高自身的创新意识和国际意识</w:t>
      </w:r>
      <w:r>
        <w:rPr>
          <w:rFonts w:hint="eastAsia" w:asciiTheme="minorHAnsi" w:hAnsiTheme="minorHAnsi" w:eastAsiaTheme="majorEastAsia" w:cstheme="minorHAnsi"/>
          <w:kern w:val="0"/>
          <w:szCs w:val="21"/>
        </w:rPr>
        <w:t>。</w:t>
      </w:r>
    </w:p>
    <w:p>
      <w:pPr>
        <w:spacing w:line="360" w:lineRule="auto"/>
        <w:ind w:left="420"/>
        <w:rPr>
          <w:rFonts w:ascii="Calibri" w:hAnsi="Calibri" w:cs="Calibri"/>
        </w:rPr>
      </w:pPr>
      <w:r>
        <w:rPr>
          <w:rFonts w:hint="eastAsia" w:ascii="Calibri" w:hAnsi="Calibri" w:cs="Calibri"/>
        </w:rPr>
        <w:t>宾大的强化英语课程（Intensive Program）适合不同英语水平的学生，每周20小时的课</w:t>
      </w:r>
    </w:p>
    <w:p>
      <w:pPr>
        <w:spacing w:line="360" w:lineRule="auto"/>
        <w:rPr>
          <w:rFonts w:ascii="Calibri" w:hAnsi="Calibri" w:cs="Calibri"/>
        </w:rPr>
      </w:pPr>
      <w:r>
        <w:rPr>
          <w:rFonts w:hint="eastAsia" w:ascii="Calibri" w:hAnsi="Calibri" w:cs="Calibri"/>
        </w:rPr>
        <w:t>堂学习。课程分为必修课和选修课。必修课从听说读写、语言、词汇全方面提高学生的语言使用能力，选修课则从单项技能或特定领域方面提高学生的语言能力。学生入学时需参加分班测试，决定适合自己的级别：</w:t>
      </w:r>
    </w:p>
    <w:p>
      <w:pPr>
        <w:pStyle w:val="19"/>
        <w:numPr>
          <w:ilvl w:val="0"/>
          <w:numId w:val="3"/>
        </w:numPr>
        <w:spacing w:line="360" w:lineRule="auto"/>
        <w:ind w:firstLine="6" w:firstLineChars="0"/>
        <w:rPr>
          <w:rFonts w:ascii="Calibri" w:hAnsi="Calibri" w:cs="Calibri"/>
        </w:rPr>
      </w:pPr>
      <w:r>
        <w:rPr>
          <w:rFonts w:hint="eastAsia" w:ascii="Calibri" w:hAnsi="Calibri" w:cs="Calibri"/>
        </w:rPr>
        <w:t>初级（100-500）：只能修读必修课</w:t>
      </w:r>
    </w:p>
    <w:p>
      <w:pPr>
        <w:pStyle w:val="19"/>
        <w:numPr>
          <w:ilvl w:val="0"/>
          <w:numId w:val="3"/>
        </w:numPr>
        <w:spacing w:line="360" w:lineRule="auto"/>
        <w:ind w:firstLine="6" w:firstLineChars="0"/>
        <w:rPr>
          <w:rFonts w:ascii="Calibri" w:hAnsi="Calibri" w:cs="Calibri"/>
        </w:rPr>
      </w:pPr>
      <w:r>
        <w:rPr>
          <w:rFonts w:hint="eastAsia" w:ascii="Calibri" w:hAnsi="Calibri" w:cs="Calibri"/>
        </w:rPr>
        <w:t>中级（600-700）：可修读1门必修课和2门选修课</w:t>
      </w:r>
    </w:p>
    <w:p>
      <w:pPr>
        <w:pStyle w:val="19"/>
        <w:numPr>
          <w:ilvl w:val="0"/>
          <w:numId w:val="3"/>
        </w:numPr>
        <w:spacing w:line="360" w:lineRule="auto"/>
        <w:ind w:firstLine="6" w:firstLineChars="0"/>
        <w:rPr>
          <w:rFonts w:ascii="Calibri" w:hAnsi="Calibri" w:cs="Calibri"/>
        </w:rPr>
      </w:pPr>
      <w:r>
        <w:rPr>
          <w:rFonts w:hint="eastAsia" w:ascii="Calibri" w:hAnsi="Calibri" w:cs="Calibri"/>
        </w:rPr>
        <w:t>高级（800）：可从30多门选修课程中选择4门</w:t>
      </w:r>
    </w:p>
    <w:p>
      <w:pPr>
        <w:spacing w:line="360" w:lineRule="auto"/>
        <w:rPr>
          <w:rFonts w:ascii="Calibri" w:hAnsi="Calibri" w:cs="Calibri"/>
          <w:color w:val="FF0000"/>
        </w:rPr>
      </w:pPr>
      <w:r>
        <w:rPr>
          <w:rFonts w:hint="eastAsia" w:ascii="Calibri" w:hAnsi="Calibri" w:cs="Calibri"/>
        </w:rPr>
        <w:tab/>
      </w:r>
      <w:r>
        <w:rPr>
          <w:rFonts w:hint="eastAsia" w:ascii="Calibri" w:hAnsi="Calibri" w:cs="Calibri"/>
        </w:rPr>
        <w:t>该项目分为两个阶段：第一阶段 2019年2月28日 - 4月19日；第二阶段 4月25日 - 6月14日。完成第一阶段的学生经考评如达到要求，可以申请在第二阶段学习更高级别的强化课程。</w:t>
      </w:r>
    </w:p>
    <w:p>
      <w:pPr>
        <w:widowControl/>
        <w:spacing w:line="360" w:lineRule="auto"/>
        <w:ind w:firstLine="420" w:firstLineChars="200"/>
        <w:jc w:val="left"/>
        <w:rPr>
          <w:rFonts w:asciiTheme="minorHAnsi" w:hAnsiTheme="minorHAnsi" w:eastAsiaTheme="majorEastAsia" w:cstheme="minorHAnsi"/>
          <w:szCs w:val="21"/>
        </w:rPr>
      </w:pPr>
      <w:r>
        <w:drawing>
          <wp:anchor distT="0" distB="0" distL="114300" distR="114300" simplePos="0" relativeHeight="251659264" behindDoc="0" locked="0" layoutInCell="1" allowOverlap="1">
            <wp:simplePos x="0" y="0"/>
            <wp:positionH relativeFrom="column">
              <wp:posOffset>-93980</wp:posOffset>
            </wp:positionH>
            <wp:positionV relativeFrom="paragraph">
              <wp:posOffset>171450</wp:posOffset>
            </wp:positionV>
            <wp:extent cx="5286375" cy="1920875"/>
            <wp:effectExtent l="0" t="0" r="9525" b="3175"/>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286375" cy="1920875"/>
                    </a:xfrm>
                    <a:prstGeom prst="rect">
                      <a:avLst/>
                    </a:prstGeom>
                  </pic:spPr>
                </pic:pic>
              </a:graphicData>
            </a:graphic>
          </wp:anchor>
        </w:drawing>
      </w:r>
    </w:p>
    <w:p>
      <w:pPr>
        <w:widowControl/>
        <w:spacing w:line="360" w:lineRule="auto"/>
        <w:jc w:val="left"/>
        <w:rPr>
          <w:rFonts w:asciiTheme="minorHAnsi" w:hAnsiTheme="minorHAnsi" w:eastAsiaTheme="majorEastAsia" w:cstheme="minorHAnsi"/>
          <w:szCs w:val="21"/>
          <w:u w:val="single"/>
        </w:rPr>
      </w:pPr>
      <w:r>
        <w:rPr>
          <w:rFonts w:asciiTheme="minorHAnsi" w:hAnsiTheme="minorHAnsi" w:eastAsiaTheme="majorEastAsia" w:cstheme="minorHAnsi"/>
          <w:szCs w:val="21"/>
          <w:u w:val="single"/>
        </w:rPr>
        <w:t>第二</w:t>
      </w:r>
      <w:r>
        <w:rPr>
          <w:rFonts w:hint="eastAsia" w:asciiTheme="minorHAnsi" w:hAnsiTheme="minorHAnsi" w:eastAsiaTheme="majorEastAsia" w:cstheme="minorHAnsi"/>
          <w:szCs w:val="21"/>
          <w:u w:val="single"/>
        </w:rPr>
        <w:t>类</w:t>
      </w:r>
      <w:r>
        <w:rPr>
          <w:rFonts w:asciiTheme="minorHAnsi" w:hAnsiTheme="minorHAnsi" w:eastAsiaTheme="majorEastAsia" w:cstheme="minorHAnsi"/>
          <w:szCs w:val="21"/>
          <w:u w:val="single"/>
        </w:rPr>
        <w:t>：大学</w:t>
      </w:r>
      <w:r>
        <w:rPr>
          <w:rFonts w:hint="eastAsia" w:asciiTheme="minorHAnsi" w:hAnsiTheme="minorHAnsi" w:eastAsiaTheme="majorEastAsia" w:cstheme="minorHAnsi"/>
          <w:szCs w:val="21"/>
          <w:u w:val="single"/>
        </w:rPr>
        <w:t>专业</w:t>
      </w:r>
      <w:r>
        <w:rPr>
          <w:rFonts w:asciiTheme="minorHAnsi" w:hAnsiTheme="minorHAnsi" w:eastAsiaTheme="majorEastAsia" w:cstheme="minorHAnsi"/>
          <w:szCs w:val="21"/>
          <w:u w:val="single"/>
        </w:rPr>
        <w:t>学分课程</w:t>
      </w:r>
    </w:p>
    <w:p>
      <w:pPr>
        <w:widowControl/>
        <w:spacing w:line="360" w:lineRule="auto"/>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 xml:space="preserve">日期：2019年1月16日 </w:t>
      </w:r>
      <w:r>
        <w:rPr>
          <w:rFonts w:asciiTheme="minorHAnsi" w:hAnsiTheme="minorHAnsi" w:eastAsiaTheme="majorEastAsia" w:cstheme="minorHAnsi"/>
          <w:szCs w:val="21"/>
        </w:rPr>
        <w:t>–</w:t>
      </w:r>
      <w:r>
        <w:rPr>
          <w:rFonts w:hint="eastAsia" w:asciiTheme="minorHAnsi" w:hAnsiTheme="minorHAnsi" w:eastAsiaTheme="majorEastAsia" w:cstheme="minorHAnsi"/>
          <w:szCs w:val="21"/>
        </w:rPr>
        <w:t xml:space="preserve"> 5月14日</w:t>
      </w:r>
    </w:p>
    <w:p>
      <w:pPr>
        <w:widowControl/>
        <w:spacing w:line="360" w:lineRule="auto"/>
        <w:ind w:firstLine="420" w:firstLineChars="200"/>
        <w:jc w:val="left"/>
        <w:rPr>
          <w:rFonts w:asciiTheme="minorHAnsi" w:hAnsiTheme="minorHAnsi" w:eastAsiaTheme="majorEastAsia" w:cstheme="minorHAnsi"/>
          <w:szCs w:val="21"/>
        </w:rPr>
      </w:pPr>
      <w:r>
        <w:rPr>
          <w:rFonts w:asciiTheme="minorHAnsi" w:hAnsiTheme="minorHAnsi" w:eastAsiaTheme="majorEastAsia" w:cstheme="minorHAnsi"/>
          <w:szCs w:val="21"/>
        </w:rPr>
        <w:t>英文</w:t>
      </w:r>
      <w:r>
        <w:rPr>
          <w:rFonts w:hint="eastAsia" w:asciiTheme="minorHAnsi" w:hAnsiTheme="minorHAnsi" w:eastAsiaTheme="majorEastAsia" w:cstheme="minorHAnsi"/>
          <w:szCs w:val="21"/>
        </w:rPr>
        <w:t>标准化考试成绩达到项目要求</w:t>
      </w:r>
      <w:r>
        <w:rPr>
          <w:rFonts w:asciiTheme="minorHAnsi" w:hAnsiTheme="minorHAnsi" w:eastAsiaTheme="majorEastAsia" w:cstheme="minorHAnsi"/>
          <w:szCs w:val="21"/>
        </w:rPr>
        <w:t>并希望提高专业水平的同学，通过</w:t>
      </w:r>
      <w:r>
        <w:rPr>
          <w:rFonts w:hint="eastAsia" w:asciiTheme="minorHAnsi" w:hAnsiTheme="minorHAnsi" w:eastAsiaTheme="majorEastAsia" w:cstheme="minorHAnsi"/>
          <w:szCs w:val="21"/>
        </w:rPr>
        <w:t>本校、全美国际教育协会、以及宾夕法尼亚大学的共同</w:t>
      </w:r>
      <w:r>
        <w:rPr>
          <w:rFonts w:asciiTheme="minorHAnsi" w:hAnsiTheme="minorHAnsi" w:eastAsiaTheme="majorEastAsia" w:cstheme="minorHAnsi"/>
          <w:szCs w:val="21"/>
        </w:rPr>
        <w:t>选拔后，</w:t>
      </w:r>
      <w:r>
        <w:rPr>
          <w:rFonts w:hint="eastAsia" w:asciiTheme="minorHAnsi" w:hAnsiTheme="minorHAnsi" w:eastAsiaTheme="majorEastAsia" w:cstheme="minorHAnsi"/>
          <w:szCs w:val="21"/>
        </w:rPr>
        <w:t>可以与宾大</w:t>
      </w:r>
      <w:r>
        <w:rPr>
          <w:rFonts w:asciiTheme="minorHAnsi" w:hAnsiTheme="minorHAnsi" w:eastAsiaTheme="majorEastAsia" w:cstheme="minorHAnsi"/>
          <w:szCs w:val="21"/>
        </w:rPr>
        <w:t>本科学生一起学习</w:t>
      </w:r>
      <w:r>
        <w:rPr>
          <w:rFonts w:hint="eastAsia" w:asciiTheme="minorHAnsi" w:hAnsiTheme="minorHAnsi" w:eastAsiaTheme="majorEastAsia" w:cstheme="minorHAnsi"/>
          <w:szCs w:val="21"/>
        </w:rPr>
        <w:t>与本专业相关的</w:t>
      </w:r>
      <w:r>
        <w:rPr>
          <w:rFonts w:asciiTheme="minorHAnsi" w:hAnsiTheme="minorHAnsi" w:eastAsiaTheme="majorEastAsia" w:cstheme="minorHAnsi"/>
          <w:szCs w:val="21"/>
        </w:rPr>
        <w:t>学分课程</w:t>
      </w:r>
      <w:r>
        <w:rPr>
          <w:rFonts w:hint="eastAsia" w:asciiTheme="minorHAnsi" w:hAnsiTheme="minorHAnsi" w:eastAsiaTheme="majorEastAsia" w:cstheme="minorHAnsi"/>
          <w:szCs w:val="21"/>
        </w:rPr>
        <w:t>。</w:t>
      </w:r>
    </w:p>
    <w:p>
      <w:pPr>
        <w:widowControl/>
        <w:spacing w:line="360" w:lineRule="auto"/>
        <w:ind w:firstLine="420" w:firstLineChars="200"/>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大学专业学分课程面向本校大多数专业的学生，学生一学期需选择4门专业课，选课范围为至少两门文理学院课程，也可申请选修其他学院课程，包括沃顿商学院、工程学院和护理学院的课程。</w:t>
      </w:r>
      <w:r>
        <w:rPr>
          <w:rFonts w:asciiTheme="minorHAnsi" w:hAnsiTheme="minorHAnsi" w:eastAsiaTheme="majorEastAsia" w:cstheme="minorHAnsi"/>
          <w:szCs w:val="21"/>
        </w:rPr>
        <w:t>顺利完成</w:t>
      </w:r>
      <w:r>
        <w:rPr>
          <w:rFonts w:hint="eastAsia" w:asciiTheme="minorHAnsi" w:hAnsiTheme="minorHAnsi" w:eastAsiaTheme="majorEastAsia" w:cstheme="minorHAnsi"/>
          <w:szCs w:val="21"/>
        </w:rPr>
        <w:t>学业后，</w:t>
      </w:r>
      <w:r>
        <w:rPr>
          <w:rFonts w:asciiTheme="minorHAnsi" w:hAnsiTheme="minorHAnsi" w:eastAsiaTheme="majorEastAsia" w:cstheme="minorHAnsi"/>
          <w:szCs w:val="21"/>
        </w:rPr>
        <w:t>获得</w:t>
      </w:r>
      <w:r>
        <w:rPr>
          <w:rFonts w:hint="eastAsia" w:asciiTheme="minorHAnsi" w:hAnsiTheme="minorHAnsi" w:eastAsiaTheme="majorEastAsia" w:cstheme="minorHAnsi"/>
          <w:szCs w:val="21"/>
        </w:rPr>
        <w:t>宾夕法尼亚</w:t>
      </w:r>
      <w:r>
        <w:rPr>
          <w:rFonts w:asciiTheme="minorHAnsi" w:hAnsiTheme="minorHAnsi" w:eastAsiaTheme="majorEastAsia" w:cstheme="minorHAnsi"/>
          <w:szCs w:val="21"/>
        </w:rPr>
        <w:t>大学</w:t>
      </w:r>
      <w:r>
        <w:rPr>
          <w:rFonts w:hint="eastAsia" w:asciiTheme="minorHAnsi" w:hAnsiTheme="minorHAnsi" w:eastAsiaTheme="majorEastAsia" w:cstheme="minorHAnsi"/>
          <w:szCs w:val="21"/>
        </w:rPr>
        <w:t>的正式学分和</w:t>
      </w:r>
      <w:r>
        <w:rPr>
          <w:rFonts w:asciiTheme="minorHAnsi" w:hAnsiTheme="minorHAnsi" w:eastAsiaTheme="majorEastAsia" w:cstheme="minorHAnsi"/>
          <w:szCs w:val="21"/>
        </w:rPr>
        <w:t>成绩单，经</w:t>
      </w:r>
      <w:r>
        <w:rPr>
          <w:rFonts w:hint="eastAsia" w:asciiTheme="minorHAnsi" w:hAnsiTheme="minorHAnsi" w:eastAsiaTheme="majorEastAsia" w:cstheme="minorHAnsi"/>
          <w:szCs w:val="21"/>
        </w:rPr>
        <w:t>本校</w:t>
      </w:r>
      <w:r>
        <w:rPr>
          <w:rFonts w:asciiTheme="minorHAnsi" w:hAnsiTheme="minorHAnsi" w:eastAsiaTheme="majorEastAsia" w:cstheme="minorHAnsi"/>
          <w:szCs w:val="21"/>
        </w:rPr>
        <w:t>教务处</w:t>
      </w:r>
      <w:r>
        <w:rPr>
          <w:rFonts w:hint="eastAsia" w:asciiTheme="minorHAnsi" w:hAnsiTheme="minorHAnsi" w:eastAsiaTheme="majorEastAsia" w:cstheme="minorHAnsi"/>
          <w:szCs w:val="21"/>
        </w:rPr>
        <w:t>获院系评估</w:t>
      </w:r>
      <w:r>
        <w:rPr>
          <w:rFonts w:asciiTheme="minorHAnsi" w:hAnsiTheme="minorHAnsi" w:eastAsiaTheme="majorEastAsia" w:cstheme="minorHAnsi"/>
          <w:szCs w:val="21"/>
        </w:rPr>
        <w:t>认可的学分可转为本校学分。</w:t>
      </w:r>
    </w:p>
    <w:p>
      <w:pPr>
        <w:widowControl/>
        <w:spacing w:line="360" w:lineRule="auto"/>
        <w:ind w:firstLine="420" w:firstLineChars="200"/>
        <w:jc w:val="left"/>
        <w:rPr>
          <w:rFonts w:asciiTheme="minorHAnsi" w:hAnsiTheme="minorHAnsi" w:eastAsiaTheme="majorEastAsia" w:cstheme="minorHAnsi"/>
          <w:szCs w:val="21"/>
        </w:rPr>
      </w:pPr>
      <w:r>
        <w:rPr>
          <w:rFonts w:asciiTheme="minorHAnsi" w:hAnsiTheme="minorHAnsi" w:eastAsiaTheme="majorEastAsia" w:cstheme="minorHAnsi"/>
          <w:szCs w:val="21"/>
        </w:rPr>
        <w:t>更多文理学院的选课信息</w:t>
      </w:r>
      <w:r>
        <w:rPr>
          <w:rFonts w:hint="eastAsia" w:asciiTheme="minorHAnsi" w:hAnsiTheme="minorHAnsi" w:eastAsiaTheme="majorEastAsia" w:cstheme="minorHAnsi"/>
          <w:szCs w:val="21"/>
        </w:rPr>
        <w:t>：</w:t>
      </w:r>
      <w:r>
        <w:fldChar w:fldCharType="begin"/>
      </w:r>
      <w:r>
        <w:instrText xml:space="preserve"> HYPERLINK "https://www.sas.upenn.edu/lps/about/course-guides" </w:instrText>
      </w:r>
      <w:r>
        <w:fldChar w:fldCharType="separate"/>
      </w:r>
      <w:r>
        <w:rPr>
          <w:rStyle w:val="12"/>
          <w:rFonts w:asciiTheme="minorHAnsi" w:hAnsiTheme="minorHAnsi" w:eastAsiaTheme="majorEastAsia" w:cstheme="minorHAnsi"/>
          <w:szCs w:val="21"/>
        </w:rPr>
        <w:t>https://www.sas.upenn.edu/lps/about/course-guides</w:t>
      </w:r>
      <w:r>
        <w:rPr>
          <w:rStyle w:val="12"/>
          <w:rFonts w:asciiTheme="minorHAnsi" w:hAnsiTheme="minorHAnsi" w:eastAsiaTheme="majorEastAsia" w:cstheme="minorHAnsi"/>
          <w:szCs w:val="21"/>
        </w:rPr>
        <w:fldChar w:fldCharType="end"/>
      </w:r>
      <w:r>
        <w:rPr>
          <w:rFonts w:hint="eastAsia" w:asciiTheme="minorHAnsi" w:hAnsiTheme="minorHAnsi" w:eastAsiaTheme="majorEastAsia" w:cstheme="minorHAnsi"/>
          <w:szCs w:val="21"/>
        </w:rPr>
        <w:t xml:space="preserve"> </w:t>
      </w:r>
    </w:p>
    <w:p>
      <w:pPr>
        <w:rPr>
          <w:rFonts w:hint="eastAsia" w:ascii="Calibri" w:hAnsi="Calibri" w:cs="Calibri"/>
        </w:rPr>
      </w:pPr>
    </w:p>
    <w:p>
      <w:pPr>
        <w:spacing w:line="360" w:lineRule="auto"/>
        <w:ind w:left="420" w:leftChars="200" w:firstLine="220" w:firstLineChars="100"/>
        <w:rPr>
          <w:rFonts w:hint="eastAsia" w:cs="Calibri" w:asciiTheme="minorHAnsi" w:hAnsiTheme="minorHAnsi"/>
          <w:sz w:val="22"/>
          <w:szCs w:val="22"/>
        </w:rPr>
      </w:pPr>
    </w:p>
    <w:p>
      <w:pPr>
        <w:spacing w:line="360" w:lineRule="auto"/>
        <w:ind w:firstLine="440" w:firstLineChars="200"/>
        <w:rPr>
          <w:rFonts w:cs="Calibri" w:asciiTheme="minorHAnsi" w:hAnsiTheme="minorHAnsi"/>
          <w:sz w:val="22"/>
          <w:szCs w:val="22"/>
        </w:rPr>
      </w:pPr>
      <w:r>
        <w:rPr>
          <w:rFonts w:hint="eastAsia" w:cs="Calibri" w:asciiTheme="minorHAnsi" w:hAnsiTheme="minorHAnsi"/>
          <w:sz w:val="22"/>
          <w:szCs w:val="22"/>
        </w:rPr>
        <w:t>所有参加语言和学分课程的学生均可获得宾夕法尼亚大学正式注册的学生证，凭借学生证可在项目期内，按校方规定使用学校的校园设施与教育资源，包括图书馆、健身房、活动中心等。</w:t>
      </w:r>
    </w:p>
    <w:p>
      <w:pPr>
        <w:rPr>
          <w:rFonts w:ascii="Calibri" w:hAnsi="Calibri" w:cs="Calibri"/>
        </w:rPr>
      </w:pPr>
    </w:p>
    <w:p>
      <w:pPr>
        <w:rPr>
          <w:rFonts w:ascii="Calibri" w:hAnsi="Calibri" w:cs="Calibri"/>
        </w:rPr>
      </w:pPr>
      <w:r>
        <w:rPr>
          <w:rFonts w:cs="Calibri" w:asciiTheme="minorHAnsi" w:hAnsiTheme="minorHAnsi"/>
          <w:szCs w:val="21"/>
        </w:rPr>
        <w:t>【</w:t>
      </w:r>
      <w:r>
        <w:rPr>
          <w:rFonts w:hint="eastAsia" w:cs="Calibri" w:asciiTheme="minorHAnsi" w:hAnsiTheme="minorHAnsi"/>
          <w:b/>
          <w:szCs w:val="21"/>
        </w:rPr>
        <w:t>项目证书</w:t>
      </w:r>
      <w:r>
        <w:rPr>
          <w:rFonts w:cs="Calibri" w:asciiTheme="minorHAnsi" w:hAnsiTheme="minorHAnsi"/>
          <w:szCs w:val="21"/>
        </w:rPr>
        <w:t>】</w:t>
      </w:r>
      <w:r>
        <w:rPr>
          <w:rFonts w:hint="eastAsia" w:asciiTheme="minorHAnsi" w:hAnsiTheme="minorHAnsi" w:eastAsiaTheme="majorEastAsia" w:cstheme="minorHAnsi"/>
          <w:szCs w:val="21"/>
        </w:rPr>
        <w:t>顺利完成所有课程，并通过学术考核的学生，将获得宾夕法尼亚大学出具的正式成绩单及学习证明。</w:t>
      </w:r>
    </w:p>
    <w:p>
      <w:pPr>
        <w:spacing w:line="360" w:lineRule="auto"/>
        <w:rPr>
          <w:rFonts w:ascii="Calibri" w:hAnsi="Calibri" w:cs="Calibri"/>
        </w:rPr>
      </w:pPr>
    </w:p>
    <w:p>
      <w:pPr>
        <w:widowControl/>
        <w:spacing w:line="360" w:lineRule="auto"/>
        <w:ind w:firstLine="420" w:firstLineChars="200"/>
        <w:jc w:val="left"/>
        <w:rPr>
          <w:rFonts w:asciiTheme="minorHAnsi" w:hAnsiTheme="minorHAnsi" w:eastAsiaTheme="majorEastAsia" w:cstheme="minorHAnsi"/>
          <w:szCs w:val="21"/>
        </w:rPr>
      </w:pPr>
      <w:r>
        <w:drawing>
          <wp:anchor distT="0" distB="0" distL="114300" distR="114300" simplePos="0" relativeHeight="251661312" behindDoc="0" locked="0" layoutInCell="1" allowOverlap="1">
            <wp:simplePos x="0" y="0"/>
            <wp:positionH relativeFrom="column">
              <wp:posOffset>37465</wp:posOffset>
            </wp:positionH>
            <wp:positionV relativeFrom="paragraph">
              <wp:posOffset>139065</wp:posOffset>
            </wp:positionV>
            <wp:extent cx="1495425" cy="1961515"/>
            <wp:effectExtent l="0" t="0" r="9525" b="63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5425" cy="1961515"/>
                    </a:xfrm>
                    <a:prstGeom prst="rect">
                      <a:avLst/>
                    </a:prstGeom>
                  </pic:spPr>
                </pic:pic>
              </a:graphicData>
            </a:graphic>
          </wp:anchor>
        </w:drawing>
      </w:r>
    </w:p>
    <w:p>
      <w:pPr>
        <w:widowControl/>
        <w:spacing w:line="360" w:lineRule="auto"/>
        <w:jc w:val="left"/>
        <w:rPr>
          <w:rFonts w:cs="Calibri" w:asciiTheme="minorHAnsi" w:hAnsiTheme="minorHAnsi"/>
          <w:szCs w:val="21"/>
        </w:rPr>
      </w:pPr>
    </w:p>
    <w:p>
      <w:pPr>
        <w:widowControl/>
        <w:spacing w:line="360" w:lineRule="auto"/>
        <w:jc w:val="left"/>
        <w:rPr>
          <w:rFonts w:cs="Calibri" w:asciiTheme="minorHAnsi" w:hAnsiTheme="minorHAnsi"/>
          <w:szCs w:val="21"/>
        </w:rPr>
      </w:pPr>
    </w:p>
    <w:p>
      <w:pPr>
        <w:widowControl/>
        <w:spacing w:line="360" w:lineRule="auto"/>
        <w:jc w:val="left"/>
        <w:rPr>
          <w:rFonts w:cs="Calibri" w:asciiTheme="minorHAnsi" w:hAnsiTheme="minorHAnsi"/>
          <w:szCs w:val="21"/>
        </w:rPr>
      </w:pPr>
    </w:p>
    <w:p>
      <w:pPr>
        <w:widowControl/>
        <w:spacing w:line="360" w:lineRule="auto"/>
        <w:jc w:val="left"/>
        <w:rPr>
          <w:rFonts w:cs="Calibri" w:asciiTheme="minorHAnsi" w:hAnsiTheme="minorHAnsi"/>
          <w:szCs w:val="21"/>
        </w:rPr>
      </w:pPr>
    </w:p>
    <w:p>
      <w:pPr>
        <w:widowControl/>
        <w:spacing w:line="360" w:lineRule="auto"/>
        <w:jc w:val="left"/>
        <w:rPr>
          <w:rFonts w:cs="Calibri" w:asciiTheme="minorHAnsi" w:hAnsiTheme="minorHAnsi"/>
          <w:szCs w:val="21"/>
        </w:rPr>
      </w:pPr>
    </w:p>
    <w:p>
      <w:pPr>
        <w:widowControl/>
        <w:spacing w:line="360" w:lineRule="auto"/>
        <w:jc w:val="left"/>
        <w:rPr>
          <w:rFonts w:hint="eastAsia" w:cs="Calibri" w:asciiTheme="minorHAnsi" w:hAnsiTheme="minorHAnsi"/>
          <w:szCs w:val="21"/>
        </w:rPr>
      </w:pPr>
    </w:p>
    <w:p>
      <w:pPr>
        <w:widowControl/>
        <w:spacing w:line="360" w:lineRule="auto"/>
        <w:jc w:val="left"/>
        <w:rPr>
          <w:rFonts w:cs="Calibri" w:asciiTheme="minorHAnsi" w:hAnsiTheme="minorHAnsi"/>
          <w:szCs w:val="21"/>
        </w:rPr>
      </w:pPr>
      <w:r>
        <w:rPr>
          <w:rFonts w:hint="eastAsia" w:cs="Calibri" w:asciiTheme="minorHAnsi" w:hAnsiTheme="minorHAnsi"/>
          <w:szCs w:val="21"/>
        </w:rPr>
        <w:t xml:space="preserve"> 图：宾大语言文化课程成绩单</w:t>
      </w:r>
    </w:p>
    <w:p>
      <w:pPr>
        <w:widowControl/>
        <w:spacing w:line="360" w:lineRule="auto"/>
        <w:jc w:val="left"/>
        <w:rPr>
          <w:rFonts w:asciiTheme="minorHAnsi" w:hAnsiTheme="minorHAnsi" w:eastAsiaTheme="majorEastAsia" w:cstheme="minorHAnsi"/>
          <w:bCs/>
          <w:kern w:val="0"/>
          <w:szCs w:val="21"/>
        </w:rPr>
      </w:pPr>
      <w:r>
        <w:rPr>
          <w:rFonts w:cs="Calibri" w:asciiTheme="minorHAnsi" w:hAnsiTheme="minorHAnsi"/>
          <w:szCs w:val="21"/>
        </w:rPr>
        <w:t>【</w:t>
      </w:r>
      <w:r>
        <w:rPr>
          <w:rFonts w:hint="eastAsia" w:asciiTheme="minorHAnsi" w:hAnsiTheme="minorHAnsi" w:eastAsiaTheme="majorEastAsia" w:cstheme="minorHAnsi"/>
          <w:b/>
          <w:bCs/>
          <w:kern w:val="0"/>
          <w:szCs w:val="21"/>
        </w:rPr>
        <w:t>项目</w:t>
      </w:r>
      <w:r>
        <w:rPr>
          <w:rFonts w:asciiTheme="minorHAnsi" w:hAnsiTheme="minorHAnsi" w:eastAsiaTheme="majorEastAsia" w:cstheme="minorHAnsi"/>
          <w:b/>
          <w:bCs/>
          <w:kern w:val="0"/>
          <w:szCs w:val="21"/>
        </w:rPr>
        <w:t>费用</w:t>
      </w:r>
      <w:r>
        <w:rPr>
          <w:rFonts w:cs="Calibri" w:asciiTheme="minorHAnsi" w:hAnsiTheme="minorHAnsi"/>
          <w:szCs w:val="21"/>
        </w:rPr>
        <w:t>】</w:t>
      </w:r>
    </w:p>
    <w:tbl>
      <w:tblPr>
        <w:tblStyle w:val="1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trPr>
        <w:tc>
          <w:tcPr>
            <w:tcW w:w="1951" w:type="dxa"/>
            <w:vMerge w:val="restart"/>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项目总费用</w:t>
            </w:r>
          </w:p>
        </w:tc>
        <w:tc>
          <w:tcPr>
            <w:tcW w:w="6571"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语言文化课程：约1.16万美元（约合人民币7.9万元）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trPr>
        <w:tc>
          <w:tcPr>
            <w:tcW w:w="1951" w:type="dxa"/>
            <w:vMerge w:val="continue"/>
          </w:tcPr>
          <w:p>
            <w:pPr>
              <w:spacing w:line="360" w:lineRule="auto"/>
              <w:rPr>
                <w:rFonts w:asciiTheme="minorHAnsi" w:hAnsiTheme="minorHAnsi" w:eastAsiaTheme="majorEastAsia" w:cstheme="minorHAnsi"/>
                <w:szCs w:val="21"/>
              </w:rPr>
            </w:pPr>
          </w:p>
        </w:tc>
        <w:tc>
          <w:tcPr>
            <w:tcW w:w="6571"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专业学分课程： 1.85万美元（约合人民币12.6万元）至3.2万美元（约合人民币21.8万元）</w:t>
            </w:r>
          </w:p>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注：根据学生选课所属院系的不同，项目费用存在差别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费用包括：</w:t>
            </w:r>
          </w:p>
        </w:tc>
        <w:tc>
          <w:tcPr>
            <w:tcW w:w="6571"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申请费、学费、杂费、设施费、健康费、在读期间医疗保险、及项目设计与管理费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费用不包括：</w:t>
            </w:r>
          </w:p>
        </w:tc>
        <w:tc>
          <w:tcPr>
            <w:tcW w:w="6571"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国际机票、签证费、住宿费、个人生活费</w:t>
            </w:r>
          </w:p>
        </w:tc>
      </w:tr>
    </w:tbl>
    <w:p>
      <w:pPr>
        <w:spacing w:line="360" w:lineRule="auto"/>
        <w:ind w:firstLine="420" w:firstLineChars="200"/>
        <w:rPr>
          <w:rFonts w:asciiTheme="minorHAnsi" w:hAnsiTheme="minorHAnsi" w:eastAsiaTheme="majorEastAsia" w:cstheme="minorHAnsi"/>
          <w:szCs w:val="21"/>
        </w:rPr>
      </w:pPr>
    </w:p>
    <w:p>
      <w:pPr>
        <w:pStyle w:val="19"/>
        <w:widowControl/>
        <w:numPr>
          <w:ilvl w:val="0"/>
          <w:numId w:val="1"/>
        </w:numPr>
        <w:spacing w:line="360" w:lineRule="auto"/>
        <w:ind w:firstLineChars="0"/>
        <w:jc w:val="left"/>
        <w:rPr>
          <w:rFonts w:hint="eastAsia" w:ascii="宋体" w:hAnsi="宋体" w:eastAsia="宋体" w:cs="宋体"/>
          <w:b/>
          <w:kern w:val="0"/>
          <w:sz w:val="21"/>
          <w:szCs w:val="21"/>
        </w:rPr>
      </w:pPr>
      <w:r>
        <w:rPr>
          <w:rFonts w:hint="eastAsia" w:ascii="宋体" w:hAnsi="宋体" w:eastAsia="宋体" w:cs="宋体"/>
          <w:b/>
          <w:bCs/>
          <w:kern w:val="0"/>
          <w:sz w:val="21"/>
          <w:szCs w:val="21"/>
        </w:rPr>
        <w:t>申请条件</w:t>
      </w:r>
    </w:p>
    <w:p>
      <w:pPr>
        <w:pStyle w:val="19"/>
        <w:numPr>
          <w:ilvl w:val="0"/>
          <w:numId w:val="4"/>
        </w:numPr>
        <w:spacing w:line="360" w:lineRule="auto"/>
        <w:ind w:firstLineChars="0"/>
        <w:rPr>
          <w:rFonts w:hint="eastAsia" w:ascii="宋体" w:hAnsi="宋体" w:eastAsia="宋体" w:cs="宋体"/>
          <w:sz w:val="21"/>
          <w:szCs w:val="21"/>
        </w:rPr>
      </w:pPr>
      <w:r>
        <w:rPr>
          <w:rFonts w:hint="eastAsia" w:ascii="宋体" w:hAnsi="宋体" w:eastAsia="宋体" w:cs="宋体"/>
          <w:sz w:val="21"/>
          <w:szCs w:val="21"/>
        </w:rPr>
        <w:t>仅限本校全日制在校生；且成绩优异、道德品质好，在校期间未受过纪律处分，身心健康，能顺利完成在美学习任务；</w:t>
      </w:r>
    </w:p>
    <w:p>
      <w:pPr>
        <w:pStyle w:val="19"/>
        <w:numPr>
          <w:ilvl w:val="0"/>
          <w:numId w:val="4"/>
        </w:numPr>
        <w:spacing w:line="360" w:lineRule="auto"/>
        <w:ind w:firstLineChars="0"/>
        <w:rPr>
          <w:rFonts w:hint="eastAsia" w:ascii="宋体" w:hAnsi="宋体" w:eastAsia="宋体" w:cs="宋体"/>
          <w:sz w:val="21"/>
          <w:szCs w:val="21"/>
        </w:rPr>
      </w:pPr>
      <w:r>
        <w:rPr>
          <w:rFonts w:hint="eastAsia" w:ascii="宋体" w:hAnsi="宋体" w:eastAsia="宋体" w:cs="宋体"/>
          <w:sz w:val="21"/>
          <w:szCs w:val="21"/>
        </w:rPr>
        <w:t xml:space="preserve">申请要求 </w:t>
      </w:r>
    </w:p>
    <w:p>
      <w:pPr>
        <w:pStyle w:val="19"/>
        <w:spacing w:line="360" w:lineRule="auto"/>
        <w:ind w:left="570" w:firstLine="0" w:firstLineChars="0"/>
        <w:rPr>
          <w:rFonts w:hint="eastAsia" w:ascii="宋体" w:hAnsi="宋体" w:eastAsia="宋体" w:cs="宋体"/>
          <w:sz w:val="21"/>
          <w:szCs w:val="21"/>
        </w:rPr>
      </w:pPr>
      <w:r>
        <w:rPr>
          <w:rFonts w:hint="eastAsia" w:ascii="宋体" w:hAnsi="宋体" w:eastAsia="宋体" w:cs="宋体"/>
          <w:b/>
          <w:sz w:val="21"/>
          <w:szCs w:val="21"/>
        </w:rPr>
        <w:t>英语及美国文化课程</w:t>
      </w:r>
      <w:r>
        <w:rPr>
          <w:rFonts w:hint="eastAsia" w:ascii="宋体" w:hAnsi="宋体" w:eastAsia="宋体" w:cs="宋体"/>
          <w:sz w:val="21"/>
          <w:szCs w:val="21"/>
        </w:rPr>
        <w:t>：具有良好的英语基础；本科和研究生均可申请；</w:t>
      </w:r>
    </w:p>
    <w:p>
      <w:pPr>
        <w:pStyle w:val="19"/>
        <w:spacing w:line="360" w:lineRule="auto"/>
        <w:ind w:left="570" w:firstLine="0" w:firstLineChars="0"/>
        <w:rPr>
          <w:rFonts w:hint="eastAsia" w:ascii="宋体" w:hAnsi="宋体" w:eastAsia="宋体" w:cs="宋体"/>
          <w:sz w:val="21"/>
          <w:szCs w:val="21"/>
        </w:rPr>
      </w:pPr>
      <w:r>
        <w:rPr>
          <w:rFonts w:hint="eastAsia" w:ascii="宋体" w:hAnsi="宋体" w:eastAsia="宋体" w:cs="宋体"/>
          <w:b/>
          <w:sz w:val="21"/>
          <w:szCs w:val="21"/>
        </w:rPr>
        <w:t>大学专业学分课程</w:t>
      </w:r>
      <w:r>
        <w:rPr>
          <w:rFonts w:hint="eastAsia" w:ascii="宋体" w:hAnsi="宋体" w:eastAsia="宋体" w:cs="宋体"/>
          <w:sz w:val="21"/>
          <w:szCs w:val="21"/>
        </w:rPr>
        <w:t>：托福100，或雅思7.0，GPA3.3（4分制）；大二或大二年级以上学生方可申请。</w:t>
      </w:r>
    </w:p>
    <w:p>
      <w:pPr>
        <w:pStyle w:val="19"/>
        <w:numPr>
          <w:ilvl w:val="0"/>
          <w:numId w:val="4"/>
        </w:numPr>
        <w:spacing w:line="360" w:lineRule="auto"/>
        <w:ind w:firstLineChars="0"/>
        <w:rPr>
          <w:rFonts w:hint="eastAsia" w:ascii="宋体" w:hAnsi="宋体" w:eastAsia="宋体" w:cs="宋体"/>
          <w:sz w:val="21"/>
          <w:szCs w:val="21"/>
        </w:rPr>
      </w:pPr>
      <w:r>
        <w:rPr>
          <w:rFonts w:hint="eastAsia" w:ascii="宋体" w:hAnsi="宋体" w:eastAsia="宋体" w:cs="宋体"/>
          <w:sz w:val="21"/>
          <w:szCs w:val="21"/>
        </w:rPr>
        <w:t>家庭具有一定经济基础，能够提供访学所需学费及生活费；</w:t>
      </w:r>
    </w:p>
    <w:p>
      <w:pPr>
        <w:pStyle w:val="19"/>
        <w:numPr>
          <w:ilvl w:val="0"/>
          <w:numId w:val="4"/>
        </w:numPr>
        <w:spacing w:line="360" w:lineRule="auto"/>
        <w:ind w:firstLineChars="0"/>
        <w:rPr>
          <w:rFonts w:hint="eastAsia" w:ascii="宋体" w:hAnsi="宋体" w:eastAsia="宋体" w:cs="宋体"/>
          <w:sz w:val="21"/>
          <w:szCs w:val="21"/>
        </w:rPr>
      </w:pPr>
      <w:r>
        <w:rPr>
          <w:rFonts w:hint="eastAsia" w:ascii="宋体" w:hAnsi="宋体" w:eastAsia="宋体" w:cs="宋体"/>
          <w:sz w:val="21"/>
          <w:szCs w:val="21"/>
        </w:rPr>
        <w:t>通过全美国际教育协会的项目面试、宾夕法尼亚大学的学术审核、以及我校院系及</w:t>
      </w:r>
    </w:p>
    <w:p>
      <w:pPr>
        <w:pStyle w:val="19"/>
        <w:spacing w:line="360" w:lineRule="auto"/>
        <w:ind w:left="570" w:firstLine="0" w:firstLineChars="0"/>
        <w:rPr>
          <w:rFonts w:hint="eastAsia" w:ascii="宋体" w:hAnsi="宋体" w:eastAsia="宋体" w:cs="宋体"/>
          <w:sz w:val="21"/>
          <w:szCs w:val="21"/>
        </w:rPr>
      </w:pPr>
      <w:r>
        <w:rPr>
          <w:rFonts w:hint="eastAsia" w:ascii="宋体" w:hAnsi="宋体" w:eastAsia="宋体" w:cs="宋体"/>
          <w:sz w:val="21"/>
          <w:szCs w:val="21"/>
        </w:rPr>
        <w:t>国际交流处的派出资格审核。</w:t>
      </w:r>
    </w:p>
    <w:p>
      <w:pPr>
        <w:pStyle w:val="19"/>
        <w:numPr>
          <w:ilvl w:val="0"/>
          <w:numId w:val="0"/>
        </w:numPr>
        <w:spacing w:line="360" w:lineRule="auto"/>
        <w:ind w:leftChars="0"/>
        <w:rPr>
          <w:rFonts w:hint="eastAsia" w:asciiTheme="minorHAnsi" w:hAnsiTheme="minorHAnsi" w:eastAsiaTheme="majorEastAsia" w:cstheme="minorHAnsi"/>
          <w:b/>
          <w:kern w:val="0"/>
          <w:szCs w:val="21"/>
          <w:lang w:val="en-US" w:eastAsia="zh-CN"/>
        </w:rPr>
      </w:pPr>
    </w:p>
    <w:p>
      <w:pPr>
        <w:pStyle w:val="19"/>
        <w:numPr>
          <w:ilvl w:val="0"/>
          <w:numId w:val="0"/>
        </w:numPr>
        <w:spacing w:line="360" w:lineRule="auto"/>
        <w:ind w:leftChars="0"/>
        <w:rPr>
          <w:rFonts w:hint="eastAsia" w:ascii="宋体" w:hAnsi="宋体" w:eastAsia="宋体" w:cs="宋体"/>
          <w:sz w:val="21"/>
          <w:szCs w:val="21"/>
          <w:lang w:val="en-US" w:eastAsia="zh-CN"/>
        </w:rPr>
      </w:pPr>
      <w:r>
        <w:rPr>
          <w:rFonts w:hint="eastAsia" w:ascii="宋体" w:hAnsi="宋体" w:cs="宋体"/>
          <w:b/>
          <w:bCs/>
          <w:sz w:val="21"/>
          <w:szCs w:val="21"/>
          <w:lang w:val="en-US" w:eastAsia="zh-CN"/>
        </w:rPr>
        <w:t>四</w:t>
      </w:r>
      <w:r>
        <w:rPr>
          <w:rFonts w:hint="eastAsia" w:ascii="宋体" w:hAnsi="宋体" w:eastAsia="宋体" w:cs="宋体"/>
          <w:b/>
          <w:bCs/>
          <w:sz w:val="21"/>
          <w:szCs w:val="21"/>
          <w:lang w:val="en-US" w:eastAsia="zh-CN"/>
        </w:rPr>
        <w:t>、</w:t>
      </w:r>
      <w:r>
        <w:rPr>
          <w:rFonts w:hint="eastAsia" w:ascii="宋体" w:hAnsi="宋体" w:eastAsia="宋体" w:cs="宋体"/>
          <w:b/>
          <w:kern w:val="0"/>
          <w:sz w:val="21"/>
          <w:szCs w:val="21"/>
        </w:rPr>
        <w:t>项目申请录取方式和报名流程</w:t>
      </w:r>
    </w:p>
    <w:p>
      <w:pPr>
        <w:spacing w:line="360" w:lineRule="auto"/>
        <w:jc w:val="left"/>
        <w:rPr>
          <w:rFonts w:hint="eastAsia" w:ascii="宋体" w:hAnsi="宋体" w:eastAsia="宋体" w:cs="宋体"/>
          <w:kern w:val="0"/>
          <w:sz w:val="21"/>
          <w:szCs w:val="21"/>
          <w:lang w:val="en-US" w:eastAsia="zh-CN"/>
        </w:rPr>
      </w:pPr>
      <w:r>
        <w:rPr>
          <w:rFonts w:hint="eastAsia" w:ascii="宋体" w:hAnsi="宋体" w:eastAsia="宋体" w:cs="宋体"/>
          <w:color w:val="000000"/>
          <w:kern w:val="0"/>
          <w:sz w:val="21"/>
          <w:szCs w:val="21"/>
        </w:rPr>
        <w:t>1、</w:t>
      </w:r>
      <w:r>
        <w:rPr>
          <w:rFonts w:hint="eastAsia" w:ascii="宋体" w:hAnsi="宋体" w:eastAsia="宋体" w:cs="宋体"/>
          <w:kern w:val="0"/>
          <w:sz w:val="21"/>
          <w:szCs w:val="21"/>
          <w:lang w:val="en-US" w:eastAsia="zh-CN"/>
        </w:rPr>
        <w:t>学生本人提出申请，在学校国际合作与交流处报名。报名方式：登陆“西安工程大学全球化学习项目与申请平台”（网址：</w:t>
      </w:r>
      <w:r>
        <w:rPr>
          <w:rFonts w:hint="eastAsia" w:ascii="宋体" w:hAnsi="宋体" w:eastAsia="宋体" w:cs="宋体"/>
          <w:color w:val="0000FF"/>
          <w:sz w:val="21"/>
          <w:szCs w:val="21"/>
          <w:lang w:val="en-US" w:eastAsia="zh-CN"/>
        </w:rPr>
        <w:fldChar w:fldCharType="begin"/>
      </w:r>
      <w:r>
        <w:rPr>
          <w:rFonts w:hint="eastAsia" w:ascii="宋体" w:hAnsi="宋体" w:eastAsia="宋体" w:cs="宋体"/>
          <w:color w:val="0000FF"/>
          <w:sz w:val="21"/>
          <w:szCs w:val="21"/>
          <w:lang w:val="en-US" w:eastAsia="zh-CN"/>
        </w:rPr>
        <w:instrText xml:space="preserve"> HYPERLINK "http://xpu.hikedu.com/" </w:instrText>
      </w:r>
      <w:r>
        <w:rPr>
          <w:rFonts w:hint="eastAsia" w:ascii="宋体" w:hAnsi="宋体" w:eastAsia="宋体" w:cs="宋体"/>
          <w:color w:val="0000FF"/>
          <w:sz w:val="21"/>
          <w:szCs w:val="21"/>
          <w:lang w:val="en-US" w:eastAsia="zh-CN"/>
        </w:rPr>
        <w:fldChar w:fldCharType="separate"/>
      </w:r>
      <w:r>
        <w:rPr>
          <w:rFonts w:hint="eastAsia" w:ascii="宋体" w:hAnsi="宋体" w:eastAsia="宋体" w:cs="宋体"/>
          <w:color w:val="0000FF"/>
          <w:sz w:val="21"/>
          <w:szCs w:val="21"/>
          <w:lang w:val="en-US" w:eastAsia="zh-CN"/>
        </w:rPr>
        <w:t>http://xpu.hikedu.com/</w:t>
      </w:r>
      <w:r>
        <w:rPr>
          <w:rFonts w:hint="eastAsia" w:ascii="宋体" w:hAnsi="宋体" w:eastAsia="宋体" w:cs="宋体"/>
          <w:color w:val="0000FF"/>
          <w:sz w:val="21"/>
          <w:szCs w:val="21"/>
          <w:lang w:val="en-US" w:eastAsia="zh-CN"/>
        </w:rPr>
        <w:fldChar w:fldCharType="end"/>
      </w:r>
      <w:r>
        <w:rPr>
          <w:rFonts w:hint="eastAsia" w:ascii="宋体" w:hAnsi="宋体" w:eastAsia="宋体" w:cs="宋体"/>
          <w:kern w:val="0"/>
          <w:sz w:val="21"/>
          <w:szCs w:val="21"/>
          <w:lang w:val="en-US" w:eastAsia="zh-CN"/>
        </w:rPr>
        <w:t>），同时在在西安工程大学国际处网站（</w:t>
      </w:r>
      <w:r>
        <w:rPr>
          <w:rFonts w:hint="eastAsia" w:ascii="宋体" w:hAnsi="宋体" w:eastAsia="宋体" w:cs="宋体"/>
          <w:color w:val="0000FF"/>
          <w:sz w:val="21"/>
          <w:szCs w:val="21"/>
          <w:lang w:val="en-US" w:eastAsia="zh-CN"/>
        </w:rPr>
        <w:fldChar w:fldCharType="begin"/>
      </w:r>
      <w:r>
        <w:rPr>
          <w:rFonts w:hint="eastAsia" w:ascii="宋体" w:hAnsi="宋体" w:eastAsia="宋体" w:cs="宋体"/>
          <w:color w:val="0000FF"/>
          <w:sz w:val="21"/>
          <w:szCs w:val="21"/>
          <w:lang w:val="en-US" w:eastAsia="zh-CN"/>
        </w:rPr>
        <w:instrText xml:space="preserve"> HYPERLINK "http://international.xpu.edu.cn/" </w:instrText>
      </w:r>
      <w:r>
        <w:rPr>
          <w:rFonts w:hint="eastAsia" w:ascii="宋体" w:hAnsi="宋体" w:eastAsia="宋体" w:cs="宋体"/>
          <w:color w:val="0000FF"/>
          <w:sz w:val="21"/>
          <w:szCs w:val="21"/>
          <w:lang w:val="en-US" w:eastAsia="zh-CN"/>
        </w:rPr>
        <w:fldChar w:fldCharType="separate"/>
      </w:r>
      <w:r>
        <w:rPr>
          <w:rFonts w:hint="eastAsia" w:ascii="宋体" w:hAnsi="宋体" w:eastAsia="宋体" w:cs="宋体"/>
          <w:color w:val="0000FF"/>
          <w:sz w:val="21"/>
          <w:szCs w:val="21"/>
          <w:lang w:val="en-US" w:eastAsia="zh-CN"/>
        </w:rPr>
        <w:t>http://international.xpu.edu.cn/</w:t>
      </w:r>
      <w:r>
        <w:rPr>
          <w:rFonts w:hint="eastAsia" w:ascii="宋体" w:hAnsi="宋体" w:eastAsia="宋体" w:cs="宋体"/>
          <w:color w:val="0000FF"/>
          <w:sz w:val="21"/>
          <w:szCs w:val="21"/>
          <w:lang w:val="en-US" w:eastAsia="zh-CN"/>
        </w:rPr>
        <w:fldChar w:fldCharType="end"/>
      </w:r>
      <w:r>
        <w:rPr>
          <w:rFonts w:hint="eastAsia" w:ascii="宋体" w:hAnsi="宋体" w:eastAsia="宋体" w:cs="宋体"/>
          <w:color w:val="000000" w:themeColor="text1"/>
          <w:sz w:val="21"/>
          <w:szCs w:val="21"/>
          <w:lang w:val="en-US" w:eastAsia="zh-CN"/>
          <w14:textFill>
            <w14:solidFill>
              <w14:schemeClr w14:val="tx1"/>
            </w14:solidFill>
          </w14:textFill>
        </w:rPr>
        <w:t>）</w:t>
      </w:r>
      <w:r>
        <w:rPr>
          <w:rFonts w:hint="eastAsia" w:ascii="宋体" w:hAnsi="宋体" w:eastAsia="宋体" w:cs="宋体"/>
          <w:kern w:val="0"/>
          <w:sz w:val="21"/>
          <w:szCs w:val="21"/>
          <w:lang w:val="en-US" w:eastAsia="zh-CN"/>
        </w:rPr>
        <w:t>下载《西安工程大学学生出国（境）申请表》。打印填写找相关部门老师签字盖章后提交国际处。</w:t>
      </w:r>
    </w:p>
    <w:p>
      <w:pPr>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2、同时登录项目选拔管理机构 -- 全美国际教育协会网站</w:t>
      </w:r>
      <w:r>
        <w:rPr>
          <w:rFonts w:hint="eastAsia" w:ascii="宋体" w:hAnsi="宋体" w:eastAsia="宋体" w:cs="宋体"/>
          <w:color w:val="0000FF"/>
          <w:sz w:val="21"/>
          <w:szCs w:val="21"/>
        </w:rPr>
        <w:fldChar w:fldCharType="begin"/>
      </w:r>
      <w:r>
        <w:rPr>
          <w:rFonts w:hint="eastAsia" w:ascii="宋体" w:hAnsi="宋体" w:eastAsia="宋体" w:cs="宋体"/>
          <w:color w:val="0000FF"/>
          <w:sz w:val="21"/>
          <w:szCs w:val="21"/>
        </w:rPr>
        <w:instrText xml:space="preserve"> HYPERLINK "http://www.usiea.org" </w:instrText>
      </w:r>
      <w:r>
        <w:rPr>
          <w:rFonts w:hint="eastAsia" w:ascii="宋体" w:hAnsi="宋体" w:eastAsia="宋体" w:cs="宋体"/>
          <w:color w:val="0000FF"/>
          <w:sz w:val="21"/>
          <w:szCs w:val="21"/>
        </w:rPr>
        <w:fldChar w:fldCharType="separate"/>
      </w:r>
      <w:r>
        <w:rPr>
          <w:rFonts w:hint="eastAsia" w:ascii="宋体" w:hAnsi="宋体" w:eastAsia="宋体" w:cs="宋体"/>
          <w:color w:val="0000FF"/>
          <w:sz w:val="21"/>
          <w:szCs w:val="21"/>
        </w:rPr>
        <w:t>www.usiea.org</w:t>
      </w:r>
      <w:r>
        <w:rPr>
          <w:rFonts w:hint="eastAsia" w:ascii="宋体" w:hAnsi="宋体" w:eastAsia="宋体" w:cs="宋体"/>
          <w:color w:val="0000FF"/>
          <w:sz w:val="21"/>
          <w:szCs w:val="21"/>
        </w:rPr>
        <w:fldChar w:fldCharType="end"/>
      </w:r>
      <w:r>
        <w:rPr>
          <w:rFonts w:hint="eastAsia" w:ascii="宋体" w:hAnsi="宋体" w:eastAsia="宋体" w:cs="宋体"/>
          <w:color w:val="000000"/>
          <w:sz w:val="21"/>
          <w:szCs w:val="21"/>
        </w:rPr>
        <w:t>，填写《</w:t>
      </w:r>
      <w:r>
        <w:rPr>
          <w:rFonts w:hint="eastAsia" w:ascii="宋体" w:hAnsi="宋体" w:eastAsia="宋体" w:cs="宋体"/>
          <w:color w:val="000000"/>
          <w:sz w:val="21"/>
          <w:szCs w:val="21"/>
          <w:lang w:val="en-US" w:eastAsia="zh-CN"/>
        </w:rPr>
        <w:t>世界</w:t>
      </w:r>
      <w:r>
        <w:rPr>
          <w:rFonts w:hint="eastAsia" w:ascii="宋体" w:hAnsi="宋体" w:eastAsia="宋体" w:cs="宋体"/>
          <w:color w:val="000000"/>
          <w:sz w:val="21"/>
          <w:szCs w:val="21"/>
        </w:rPr>
        <w:t>名校访学201</w:t>
      </w:r>
      <w:r>
        <w:rPr>
          <w:rFonts w:hint="eastAsia" w:ascii="宋体" w:hAnsi="宋体" w:eastAsia="宋体" w:cs="宋体"/>
          <w:color w:val="000000"/>
          <w:sz w:val="21"/>
          <w:szCs w:val="21"/>
          <w:lang w:val="en-US" w:eastAsia="zh-CN"/>
        </w:rPr>
        <w:t>9</w:t>
      </w:r>
      <w:r>
        <w:rPr>
          <w:rFonts w:hint="eastAsia" w:ascii="宋体" w:hAnsi="宋体" w:eastAsia="宋体" w:cs="宋体"/>
          <w:color w:val="000000"/>
          <w:sz w:val="21"/>
          <w:szCs w:val="21"/>
        </w:rPr>
        <w:t>-20</w:t>
      </w:r>
      <w:r>
        <w:rPr>
          <w:rFonts w:hint="eastAsia" w:ascii="宋体" w:hAnsi="宋体" w:eastAsia="宋体" w:cs="宋体"/>
          <w:color w:val="000000"/>
          <w:sz w:val="21"/>
          <w:szCs w:val="21"/>
          <w:lang w:val="en-US" w:eastAsia="zh-CN"/>
        </w:rPr>
        <w:t>20</w:t>
      </w:r>
      <w:r>
        <w:rPr>
          <w:rFonts w:hint="eastAsia" w:ascii="宋体" w:hAnsi="宋体" w:eastAsia="宋体" w:cs="宋体"/>
          <w:color w:val="000000"/>
          <w:sz w:val="21"/>
          <w:szCs w:val="21"/>
        </w:rPr>
        <w:t>学年报名表》，网上报名的时间决定录取的顺序；</w:t>
      </w:r>
    </w:p>
    <w:p>
      <w:pPr>
        <w:pStyle w:val="19"/>
        <w:numPr>
          <w:ilvl w:val="0"/>
          <w:numId w:val="5"/>
        </w:numPr>
        <w:spacing w:line="360" w:lineRule="auto"/>
        <w:ind w:firstLineChars="0"/>
        <w:jc w:val="left"/>
        <w:rPr>
          <w:rFonts w:hint="eastAsia" w:ascii="宋体" w:hAnsi="宋体" w:eastAsia="宋体" w:cs="宋体"/>
          <w:color w:val="000000"/>
          <w:sz w:val="21"/>
          <w:szCs w:val="21"/>
        </w:rPr>
      </w:pPr>
      <w:r>
        <w:rPr>
          <w:rFonts w:hint="eastAsia" w:ascii="宋体" w:hAnsi="宋体" w:eastAsia="宋体" w:cs="宋体"/>
          <w:color w:val="000000"/>
          <w:sz w:val="21"/>
          <w:szCs w:val="21"/>
        </w:rPr>
        <w:t>学生申请资料经初步审核后，达到要求者参加面试，确定预录取名单；</w:t>
      </w:r>
    </w:p>
    <w:p>
      <w:pPr>
        <w:pStyle w:val="19"/>
        <w:numPr>
          <w:ilvl w:val="0"/>
          <w:numId w:val="5"/>
        </w:numPr>
        <w:spacing w:line="360" w:lineRule="auto"/>
        <w:ind w:firstLineChars="0"/>
        <w:jc w:val="left"/>
        <w:rPr>
          <w:rFonts w:hint="eastAsia" w:ascii="宋体" w:hAnsi="宋体" w:eastAsia="宋体" w:cs="宋体"/>
          <w:color w:val="000000"/>
          <w:sz w:val="21"/>
          <w:szCs w:val="21"/>
        </w:rPr>
      </w:pPr>
      <w:r>
        <w:rPr>
          <w:rFonts w:hint="eastAsia" w:ascii="宋体" w:hAnsi="宋体" w:eastAsia="宋体" w:cs="宋体"/>
          <w:color w:val="000000"/>
          <w:sz w:val="21"/>
          <w:szCs w:val="21"/>
        </w:rPr>
        <w:t>学生提交正式申请材料并缴纳项目费用，获得学校录取及签证后赴海外学习；</w:t>
      </w:r>
    </w:p>
    <w:p>
      <w:pPr>
        <w:numPr>
          <w:ilvl w:val="0"/>
          <w:numId w:val="5"/>
        </w:numPr>
        <w:spacing w:line="360" w:lineRule="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项目申请截止日期：201</w:t>
      </w:r>
      <w:r>
        <w:rPr>
          <w:rFonts w:hint="eastAsia" w:ascii="宋体" w:hAnsi="宋体" w:eastAsia="宋体" w:cs="宋体"/>
          <w:b/>
          <w:bCs/>
          <w:color w:val="000000"/>
          <w:sz w:val="21"/>
          <w:szCs w:val="21"/>
          <w:lang w:val="en-US" w:eastAsia="zh-CN"/>
        </w:rPr>
        <w:t>8</w:t>
      </w:r>
      <w:r>
        <w:rPr>
          <w:rFonts w:hint="eastAsia" w:ascii="宋体" w:hAnsi="宋体" w:eastAsia="宋体" w:cs="宋体"/>
          <w:b/>
          <w:bCs/>
          <w:color w:val="000000"/>
          <w:sz w:val="21"/>
          <w:szCs w:val="21"/>
        </w:rPr>
        <w:t>年</w:t>
      </w:r>
      <w:r>
        <w:rPr>
          <w:rFonts w:hint="eastAsia" w:ascii="宋体" w:hAnsi="宋体" w:cs="宋体"/>
          <w:b/>
          <w:bCs/>
          <w:color w:val="000000"/>
          <w:sz w:val="21"/>
          <w:szCs w:val="21"/>
          <w:lang w:val="en-US" w:eastAsia="zh-CN"/>
        </w:rPr>
        <w:t>11</w:t>
      </w:r>
      <w:r>
        <w:rPr>
          <w:rFonts w:hint="eastAsia" w:ascii="宋体" w:hAnsi="宋体" w:eastAsia="宋体" w:cs="宋体"/>
          <w:b/>
          <w:bCs/>
          <w:color w:val="000000"/>
          <w:sz w:val="21"/>
          <w:szCs w:val="21"/>
        </w:rPr>
        <w:t>月</w:t>
      </w:r>
      <w:r>
        <w:rPr>
          <w:rFonts w:hint="eastAsia" w:ascii="宋体" w:hAnsi="宋体" w:cs="宋体"/>
          <w:b/>
          <w:bCs/>
          <w:color w:val="000000"/>
          <w:sz w:val="21"/>
          <w:szCs w:val="21"/>
          <w:lang w:val="en-US" w:eastAsia="zh-CN"/>
        </w:rPr>
        <w:t>20</w:t>
      </w:r>
      <w:bookmarkStart w:id="0" w:name="_GoBack"/>
      <w:bookmarkEnd w:id="0"/>
      <w:r>
        <w:rPr>
          <w:rFonts w:hint="eastAsia" w:ascii="宋体" w:hAnsi="宋体" w:eastAsia="宋体" w:cs="宋体"/>
          <w:b/>
          <w:bCs/>
          <w:color w:val="000000"/>
          <w:sz w:val="21"/>
          <w:szCs w:val="21"/>
        </w:rPr>
        <w:t>日。</w:t>
      </w:r>
    </w:p>
    <w:p>
      <w:pPr>
        <w:spacing w:line="360" w:lineRule="auto"/>
        <w:ind w:left="360"/>
        <w:rPr>
          <w:rFonts w:hint="eastAsia" w:ascii="宋体" w:hAnsi="宋体" w:eastAsia="宋体" w:cs="宋体"/>
          <w:color w:val="000000" w:themeColor="text1"/>
          <w:sz w:val="21"/>
          <w:szCs w:val="21"/>
          <w14:textFill>
            <w14:solidFill>
              <w14:schemeClr w14:val="tx1"/>
            </w14:solidFill>
          </w14:textFill>
        </w:rPr>
      </w:pPr>
    </w:p>
    <w:p>
      <w:pPr>
        <w:widowControl/>
        <w:spacing w:line="360" w:lineRule="auto"/>
        <w:jc w:val="left"/>
        <w:rPr>
          <w:rFonts w:hint="eastAsia" w:ascii="宋体" w:hAnsi="宋体" w:eastAsia="宋体" w:cs="宋体"/>
          <w:b/>
          <w:bCs/>
          <w:color w:val="000000" w:themeColor="text1"/>
          <w:kern w:val="0"/>
          <w:sz w:val="21"/>
          <w:szCs w:val="21"/>
          <w14:textFill>
            <w14:solidFill>
              <w14:schemeClr w14:val="tx1"/>
            </w14:solidFill>
          </w14:textFill>
        </w:rPr>
      </w:pPr>
      <w:r>
        <w:rPr>
          <w:rFonts w:hint="eastAsia" w:ascii="宋体" w:hAnsi="宋体" w:cs="宋体"/>
          <w:b/>
          <w:bCs/>
          <w:color w:val="000000" w:themeColor="text1"/>
          <w:kern w:val="0"/>
          <w:sz w:val="21"/>
          <w:szCs w:val="21"/>
          <w:lang w:val="en-US" w:eastAsia="zh-CN"/>
          <w14:textFill>
            <w14:solidFill>
              <w14:schemeClr w14:val="tx1"/>
            </w14:solidFill>
          </w14:textFill>
        </w:rPr>
        <w:t>五</w:t>
      </w:r>
      <w:r>
        <w:rPr>
          <w:rFonts w:hint="eastAsia" w:ascii="宋体" w:hAnsi="宋体" w:eastAsia="宋体" w:cs="宋体"/>
          <w:b/>
          <w:bCs/>
          <w:color w:val="000000" w:themeColor="text1"/>
          <w:kern w:val="0"/>
          <w:sz w:val="21"/>
          <w:szCs w:val="21"/>
          <w14:textFill>
            <w14:solidFill>
              <w14:schemeClr w14:val="tx1"/>
            </w14:solidFill>
          </w14:textFill>
        </w:rPr>
        <w:t>、项目管理</w:t>
      </w:r>
    </w:p>
    <w:p>
      <w:pPr>
        <w:spacing w:line="360" w:lineRule="auto"/>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国际合作与交流处</w:t>
      </w:r>
      <w:r>
        <w:rPr>
          <w:rFonts w:hint="eastAsia" w:ascii="宋体" w:hAnsi="宋体" w:cs="宋体"/>
          <w:color w:val="000000" w:themeColor="text1"/>
          <w:kern w:val="0"/>
          <w:sz w:val="21"/>
          <w:szCs w:val="21"/>
          <w:lang w:eastAsia="zh-CN"/>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师老师 临潼校区22-8楼414室 电话：62779091，82330567</w:t>
      </w:r>
    </w:p>
    <w:p>
      <w:pPr>
        <w:spacing w:line="360" w:lineRule="auto"/>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 xml:space="preserve">全美国际教育协会项目负责人：袁老师 电话/微信18192903776 </w:t>
      </w:r>
    </w:p>
    <w:p>
      <w:pPr>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全美国际教育协会咨询电话: 029-8559 2820（周一至周五 9:00—18:00）</w:t>
      </w:r>
    </w:p>
    <w:p>
      <w:pPr>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全美国际教育协会官网：</w:t>
      </w:r>
      <w:r>
        <w:rPr>
          <w:rStyle w:val="12"/>
          <w:rFonts w:hint="eastAsia" w:ascii="宋体" w:hAnsi="宋体" w:eastAsia="宋体" w:cs="宋体"/>
          <w:color w:val="0000FF"/>
          <w:sz w:val="21"/>
          <w:szCs w:val="21"/>
        </w:rPr>
        <w:fldChar w:fldCharType="begin"/>
      </w:r>
      <w:r>
        <w:rPr>
          <w:rStyle w:val="12"/>
          <w:rFonts w:hint="eastAsia" w:ascii="宋体" w:hAnsi="宋体" w:eastAsia="宋体" w:cs="宋体"/>
          <w:color w:val="0000FF"/>
          <w:sz w:val="21"/>
          <w:szCs w:val="21"/>
        </w:rPr>
        <w:instrText xml:space="preserve"> HYPERLINK "http://www.usiea.org" </w:instrText>
      </w:r>
      <w:r>
        <w:rPr>
          <w:rStyle w:val="12"/>
          <w:rFonts w:hint="eastAsia" w:ascii="宋体" w:hAnsi="宋体" w:eastAsia="宋体" w:cs="宋体"/>
          <w:color w:val="0000FF"/>
          <w:sz w:val="21"/>
          <w:szCs w:val="21"/>
        </w:rPr>
        <w:fldChar w:fldCharType="separate"/>
      </w:r>
      <w:r>
        <w:rPr>
          <w:rStyle w:val="12"/>
          <w:rFonts w:hint="eastAsia" w:ascii="宋体" w:hAnsi="宋体" w:eastAsia="宋体" w:cs="宋体"/>
          <w:color w:val="0000FF"/>
          <w:sz w:val="21"/>
          <w:szCs w:val="21"/>
        </w:rPr>
        <w:t>www.usiea.org</w:t>
      </w:r>
      <w:r>
        <w:rPr>
          <w:rStyle w:val="12"/>
          <w:rFonts w:hint="eastAsia" w:ascii="宋体" w:hAnsi="宋体" w:eastAsia="宋体" w:cs="宋体"/>
          <w:color w:val="0000FF"/>
          <w:sz w:val="21"/>
          <w:szCs w:val="21"/>
        </w:rPr>
        <w:fldChar w:fldCharType="end"/>
      </w:r>
      <w:r>
        <w:rPr>
          <w:rStyle w:val="12"/>
          <w:rFonts w:hint="eastAsia" w:ascii="宋体" w:hAnsi="宋体" w:eastAsia="宋体" w:cs="宋体"/>
          <w:color w:val="0000FF"/>
          <w:sz w:val="21"/>
          <w:szCs w:val="21"/>
        </w:rPr>
        <w:t xml:space="preserve"> </w:t>
      </w:r>
    </w:p>
    <w:p>
      <w:pPr>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全美国际教育协会官微：全美国际访学微刊</w:t>
      </w:r>
    </w:p>
    <w:p>
      <w:pPr>
        <w:widowControl/>
        <w:spacing w:line="360" w:lineRule="auto"/>
        <w:jc w:val="left"/>
        <w:rPr>
          <w:rFonts w:hint="eastAsia" w:ascii="宋体" w:hAnsi="宋体" w:eastAsia="宋体" w:cs="宋体"/>
          <w:kern w:val="0"/>
          <w:sz w:val="21"/>
          <w:szCs w:val="21"/>
        </w:rPr>
      </w:pPr>
      <w:r>
        <w:rPr>
          <w:rFonts w:hint="eastAsia" w:ascii="宋体" w:hAnsi="宋体" w:eastAsia="宋体" w:cs="宋体"/>
          <w:kern w:val="0"/>
          <w:sz w:val="21"/>
          <w:szCs w:val="21"/>
        </w:rPr>
        <w:t>项目邮箱咨询：</w:t>
      </w:r>
      <w:r>
        <w:rPr>
          <w:rFonts w:hint="eastAsia" w:ascii="宋体" w:hAnsi="宋体" w:eastAsia="宋体" w:cs="宋体"/>
          <w:color w:val="0000FF"/>
          <w:sz w:val="21"/>
          <w:szCs w:val="21"/>
        </w:rPr>
        <w:fldChar w:fldCharType="begin"/>
      </w:r>
      <w:r>
        <w:rPr>
          <w:rFonts w:hint="eastAsia" w:ascii="宋体" w:hAnsi="宋体" w:eastAsia="宋体" w:cs="宋体"/>
          <w:color w:val="0000FF"/>
          <w:sz w:val="21"/>
          <w:szCs w:val="21"/>
        </w:rPr>
        <w:instrText xml:space="preserve"> HYPERLINK "mailto:visitupenn@yeah.net" </w:instrText>
      </w:r>
      <w:r>
        <w:rPr>
          <w:rFonts w:hint="eastAsia" w:ascii="宋体" w:hAnsi="宋体" w:eastAsia="宋体" w:cs="宋体"/>
          <w:color w:val="0000FF"/>
          <w:sz w:val="21"/>
          <w:szCs w:val="21"/>
        </w:rPr>
        <w:fldChar w:fldCharType="separate"/>
      </w:r>
      <w:r>
        <w:rPr>
          <w:rStyle w:val="12"/>
          <w:rFonts w:hint="eastAsia" w:ascii="宋体" w:hAnsi="宋体" w:eastAsia="宋体" w:cs="宋体"/>
          <w:color w:val="0000FF"/>
          <w:kern w:val="0"/>
          <w:sz w:val="21"/>
          <w:szCs w:val="21"/>
        </w:rPr>
        <w:t>visitupenn@yeah.net</w:t>
      </w:r>
      <w:r>
        <w:rPr>
          <w:rStyle w:val="12"/>
          <w:rFonts w:hint="eastAsia" w:ascii="宋体" w:hAnsi="宋体" w:eastAsia="宋体" w:cs="宋体"/>
          <w:color w:val="0000FF"/>
          <w:kern w:val="0"/>
          <w:sz w:val="21"/>
          <w:szCs w:val="21"/>
        </w:rPr>
        <w:fldChar w:fldCharType="end"/>
      </w:r>
      <w:r>
        <w:rPr>
          <w:rFonts w:hint="eastAsia" w:ascii="宋体" w:hAnsi="宋体" w:eastAsia="宋体" w:cs="宋体"/>
          <w:color w:val="0000FF"/>
          <w:kern w:val="0"/>
          <w:sz w:val="21"/>
          <w:szCs w:val="21"/>
        </w:rPr>
        <w:t xml:space="preserve"> </w:t>
      </w:r>
    </w:p>
    <w:p>
      <w:pPr>
        <w:widowControl/>
        <w:spacing w:line="360" w:lineRule="auto"/>
        <w:jc w:val="left"/>
        <w:rPr>
          <w:rFonts w:ascii="宋体" w:hAnsi="宋体" w:cs="宋体"/>
          <w:kern w:val="0"/>
          <w:szCs w:val="21"/>
        </w:rPr>
      </w:pPr>
    </w:p>
    <w:sectPr>
      <w:headerReference r:id="rId3" w:type="default"/>
      <w:pgSz w:w="11906" w:h="16838"/>
      <w:pgMar w:top="2025" w:right="1800" w:bottom="1440" w:left="1800" w:header="737"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0" w:lineRule="atLeast"/>
      <w:ind w:right="-336" w:rightChars="-160"/>
      <w:rPr>
        <w:rFonts w:ascii="微软雅黑" w:hAnsi="微软雅黑" w:eastAsia="微软雅黑"/>
        <w:sz w:val="30"/>
        <w:szCs w:val="30"/>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76CFC"/>
    <w:multiLevelType w:val="multilevel"/>
    <w:tmpl w:val="20576CFC"/>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
    <w:nsid w:val="2F7420D4"/>
    <w:multiLevelType w:val="multilevel"/>
    <w:tmpl w:val="2F7420D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61B36ACD"/>
    <w:multiLevelType w:val="multilevel"/>
    <w:tmpl w:val="61B36ACD"/>
    <w:lvl w:ilvl="0" w:tentative="0">
      <w:start w:val="1"/>
      <w:numFmt w:val="decimal"/>
      <w:lvlText w:val="%1）"/>
      <w:lvlJc w:val="left"/>
      <w:pPr>
        <w:ind w:left="570" w:hanging="360"/>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3">
    <w:nsid w:val="6DC745D2"/>
    <w:multiLevelType w:val="multilevel"/>
    <w:tmpl w:val="6DC745D2"/>
    <w:lvl w:ilvl="0" w:tentative="0">
      <w:start w:val="3"/>
      <w:numFmt w:val="decimal"/>
      <w:lvlText w:val="%1、"/>
      <w:lvlJc w:val="left"/>
      <w:pPr>
        <w:ind w:left="360" w:hanging="360"/>
      </w:pPr>
      <w:rPr>
        <w:rFonts w:hint="default" w:asciiTheme="minorHAnsi" w:hAnsiTheme="minorHAnsi" w:cstheme="minorHAns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A804196"/>
    <w:multiLevelType w:val="multilevel"/>
    <w:tmpl w:val="7A804196"/>
    <w:lvl w:ilvl="0" w:tentative="0">
      <w:start w:val="1"/>
      <w:numFmt w:val="japaneseCounting"/>
      <w:lvlText w:val="%1、"/>
      <w:lvlJc w:val="left"/>
      <w:pPr>
        <w:ind w:left="510" w:hanging="510"/>
      </w:pPr>
      <w:rPr>
        <w:rFonts w:hint="default"/>
      </w:r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A8F"/>
    <w:rsid w:val="000035D7"/>
    <w:rsid w:val="00005465"/>
    <w:rsid w:val="00006712"/>
    <w:rsid w:val="00010F31"/>
    <w:rsid w:val="000169DD"/>
    <w:rsid w:val="00020823"/>
    <w:rsid w:val="00022AFD"/>
    <w:rsid w:val="000230BD"/>
    <w:rsid w:val="00023476"/>
    <w:rsid w:val="000236D2"/>
    <w:rsid w:val="00024C64"/>
    <w:rsid w:val="00025206"/>
    <w:rsid w:val="000267AE"/>
    <w:rsid w:val="0003068E"/>
    <w:rsid w:val="00030A02"/>
    <w:rsid w:val="00031403"/>
    <w:rsid w:val="000362BD"/>
    <w:rsid w:val="00040016"/>
    <w:rsid w:val="000402B0"/>
    <w:rsid w:val="00041148"/>
    <w:rsid w:val="00041BDA"/>
    <w:rsid w:val="00044B87"/>
    <w:rsid w:val="00046229"/>
    <w:rsid w:val="000519A2"/>
    <w:rsid w:val="00051A3D"/>
    <w:rsid w:val="0005389A"/>
    <w:rsid w:val="00060047"/>
    <w:rsid w:val="000611A0"/>
    <w:rsid w:val="0006181E"/>
    <w:rsid w:val="00065242"/>
    <w:rsid w:val="000820F9"/>
    <w:rsid w:val="000840CC"/>
    <w:rsid w:val="00090FC4"/>
    <w:rsid w:val="0009206E"/>
    <w:rsid w:val="000954F4"/>
    <w:rsid w:val="000A03BA"/>
    <w:rsid w:val="000A0A41"/>
    <w:rsid w:val="000A0A86"/>
    <w:rsid w:val="000A2A22"/>
    <w:rsid w:val="000A4030"/>
    <w:rsid w:val="000A5251"/>
    <w:rsid w:val="000A5300"/>
    <w:rsid w:val="000B1A29"/>
    <w:rsid w:val="000C2F7C"/>
    <w:rsid w:val="000C3F5B"/>
    <w:rsid w:val="000C4E56"/>
    <w:rsid w:val="000C5C18"/>
    <w:rsid w:val="000C7850"/>
    <w:rsid w:val="000C7F9A"/>
    <w:rsid w:val="000D3060"/>
    <w:rsid w:val="000D4BC5"/>
    <w:rsid w:val="000E1209"/>
    <w:rsid w:val="000E71FC"/>
    <w:rsid w:val="000F168E"/>
    <w:rsid w:val="000F6E7C"/>
    <w:rsid w:val="001013E1"/>
    <w:rsid w:val="0010196F"/>
    <w:rsid w:val="00103CA6"/>
    <w:rsid w:val="001051AF"/>
    <w:rsid w:val="00106BA3"/>
    <w:rsid w:val="00110B1F"/>
    <w:rsid w:val="00110EDA"/>
    <w:rsid w:val="0011231F"/>
    <w:rsid w:val="00112EFC"/>
    <w:rsid w:val="001131EA"/>
    <w:rsid w:val="00116EF3"/>
    <w:rsid w:val="00120A5E"/>
    <w:rsid w:val="0012340B"/>
    <w:rsid w:val="0012488E"/>
    <w:rsid w:val="00124B0D"/>
    <w:rsid w:val="00125024"/>
    <w:rsid w:val="00127FE8"/>
    <w:rsid w:val="00131D30"/>
    <w:rsid w:val="00133E4D"/>
    <w:rsid w:val="00134011"/>
    <w:rsid w:val="00135F93"/>
    <w:rsid w:val="00137744"/>
    <w:rsid w:val="001414C6"/>
    <w:rsid w:val="00143294"/>
    <w:rsid w:val="00146AB9"/>
    <w:rsid w:val="00167799"/>
    <w:rsid w:val="00170451"/>
    <w:rsid w:val="001738F0"/>
    <w:rsid w:val="00176F21"/>
    <w:rsid w:val="00182E04"/>
    <w:rsid w:val="001834A2"/>
    <w:rsid w:val="001855C8"/>
    <w:rsid w:val="00186190"/>
    <w:rsid w:val="00192C0F"/>
    <w:rsid w:val="00197470"/>
    <w:rsid w:val="001A0C7A"/>
    <w:rsid w:val="001A281F"/>
    <w:rsid w:val="001A6D39"/>
    <w:rsid w:val="001A7D56"/>
    <w:rsid w:val="001B1730"/>
    <w:rsid w:val="001C1A51"/>
    <w:rsid w:val="001C6985"/>
    <w:rsid w:val="001D4042"/>
    <w:rsid w:val="001D458C"/>
    <w:rsid w:val="001D4EF4"/>
    <w:rsid w:val="001E0F66"/>
    <w:rsid w:val="001E31D7"/>
    <w:rsid w:val="001E5D98"/>
    <w:rsid w:val="001F5524"/>
    <w:rsid w:val="00201963"/>
    <w:rsid w:val="00202030"/>
    <w:rsid w:val="00203BFF"/>
    <w:rsid w:val="002133F2"/>
    <w:rsid w:val="0021711E"/>
    <w:rsid w:val="002202A8"/>
    <w:rsid w:val="00220E2D"/>
    <w:rsid w:val="002211FB"/>
    <w:rsid w:val="00221E8C"/>
    <w:rsid w:val="0022214B"/>
    <w:rsid w:val="0022510D"/>
    <w:rsid w:val="002274D9"/>
    <w:rsid w:val="002441C6"/>
    <w:rsid w:val="002449A1"/>
    <w:rsid w:val="00251642"/>
    <w:rsid w:val="00255140"/>
    <w:rsid w:val="00261406"/>
    <w:rsid w:val="00261C11"/>
    <w:rsid w:val="00271BCB"/>
    <w:rsid w:val="00275270"/>
    <w:rsid w:val="0028056A"/>
    <w:rsid w:val="002852EE"/>
    <w:rsid w:val="0029179F"/>
    <w:rsid w:val="00292326"/>
    <w:rsid w:val="00295361"/>
    <w:rsid w:val="00296348"/>
    <w:rsid w:val="002971DF"/>
    <w:rsid w:val="00297E1A"/>
    <w:rsid w:val="002A402F"/>
    <w:rsid w:val="002A74E2"/>
    <w:rsid w:val="002B61DD"/>
    <w:rsid w:val="002B7076"/>
    <w:rsid w:val="002C2028"/>
    <w:rsid w:val="002C229B"/>
    <w:rsid w:val="002C27D4"/>
    <w:rsid w:val="002C3134"/>
    <w:rsid w:val="002C6AEB"/>
    <w:rsid w:val="002C722D"/>
    <w:rsid w:val="002D04D0"/>
    <w:rsid w:val="002D76B2"/>
    <w:rsid w:val="002D7905"/>
    <w:rsid w:val="002D7B20"/>
    <w:rsid w:val="002E1476"/>
    <w:rsid w:val="002E3299"/>
    <w:rsid w:val="002E4985"/>
    <w:rsid w:val="002E64CC"/>
    <w:rsid w:val="002F1A53"/>
    <w:rsid w:val="002F3568"/>
    <w:rsid w:val="002F7AB9"/>
    <w:rsid w:val="0030157A"/>
    <w:rsid w:val="00302995"/>
    <w:rsid w:val="00303D3D"/>
    <w:rsid w:val="0031712B"/>
    <w:rsid w:val="0032092A"/>
    <w:rsid w:val="00321528"/>
    <w:rsid w:val="00321717"/>
    <w:rsid w:val="00321D5F"/>
    <w:rsid w:val="00325682"/>
    <w:rsid w:val="00330EF0"/>
    <w:rsid w:val="00333C15"/>
    <w:rsid w:val="00337F19"/>
    <w:rsid w:val="00342D9D"/>
    <w:rsid w:val="00342E7E"/>
    <w:rsid w:val="003440CB"/>
    <w:rsid w:val="00352A1D"/>
    <w:rsid w:val="00353816"/>
    <w:rsid w:val="00361CCF"/>
    <w:rsid w:val="00364A0C"/>
    <w:rsid w:val="003738EA"/>
    <w:rsid w:val="00375491"/>
    <w:rsid w:val="00376E91"/>
    <w:rsid w:val="003822A8"/>
    <w:rsid w:val="00383DCC"/>
    <w:rsid w:val="00386A4E"/>
    <w:rsid w:val="00386C51"/>
    <w:rsid w:val="00387362"/>
    <w:rsid w:val="00390C9A"/>
    <w:rsid w:val="00390FCA"/>
    <w:rsid w:val="00392494"/>
    <w:rsid w:val="00394A95"/>
    <w:rsid w:val="00396306"/>
    <w:rsid w:val="00397742"/>
    <w:rsid w:val="003A6BB9"/>
    <w:rsid w:val="003B4151"/>
    <w:rsid w:val="003B669C"/>
    <w:rsid w:val="003B6B2D"/>
    <w:rsid w:val="003B786E"/>
    <w:rsid w:val="003C6EF7"/>
    <w:rsid w:val="003D0F7B"/>
    <w:rsid w:val="003D0FE9"/>
    <w:rsid w:val="003D2BCE"/>
    <w:rsid w:val="003D4037"/>
    <w:rsid w:val="003D4529"/>
    <w:rsid w:val="003D4B46"/>
    <w:rsid w:val="003D5F48"/>
    <w:rsid w:val="003E01B3"/>
    <w:rsid w:val="003E3199"/>
    <w:rsid w:val="003E6132"/>
    <w:rsid w:val="003E7DA0"/>
    <w:rsid w:val="003F050A"/>
    <w:rsid w:val="003F059B"/>
    <w:rsid w:val="003F50D1"/>
    <w:rsid w:val="003F5F88"/>
    <w:rsid w:val="004117A8"/>
    <w:rsid w:val="0041273F"/>
    <w:rsid w:val="0041547A"/>
    <w:rsid w:val="0042204E"/>
    <w:rsid w:val="00426325"/>
    <w:rsid w:val="00433C4B"/>
    <w:rsid w:val="00437A33"/>
    <w:rsid w:val="004469A3"/>
    <w:rsid w:val="0045270B"/>
    <w:rsid w:val="00454C45"/>
    <w:rsid w:val="00455176"/>
    <w:rsid w:val="004624BE"/>
    <w:rsid w:val="00462952"/>
    <w:rsid w:val="00465A92"/>
    <w:rsid w:val="004679CE"/>
    <w:rsid w:val="00470270"/>
    <w:rsid w:val="00471CBF"/>
    <w:rsid w:val="00472046"/>
    <w:rsid w:val="0048136E"/>
    <w:rsid w:val="00485AD1"/>
    <w:rsid w:val="00486AA5"/>
    <w:rsid w:val="004932B6"/>
    <w:rsid w:val="004946E0"/>
    <w:rsid w:val="00495E6D"/>
    <w:rsid w:val="004A1602"/>
    <w:rsid w:val="004A51A8"/>
    <w:rsid w:val="004B49EE"/>
    <w:rsid w:val="004B4D89"/>
    <w:rsid w:val="004B516E"/>
    <w:rsid w:val="004C0E26"/>
    <w:rsid w:val="004C343D"/>
    <w:rsid w:val="004C5277"/>
    <w:rsid w:val="004C6632"/>
    <w:rsid w:val="004C67AE"/>
    <w:rsid w:val="004D06C0"/>
    <w:rsid w:val="004D2423"/>
    <w:rsid w:val="004D3884"/>
    <w:rsid w:val="004D5BBA"/>
    <w:rsid w:val="004D6A08"/>
    <w:rsid w:val="004E0748"/>
    <w:rsid w:val="004E728E"/>
    <w:rsid w:val="004F0AAB"/>
    <w:rsid w:val="004F743F"/>
    <w:rsid w:val="004F7C1B"/>
    <w:rsid w:val="00500A8F"/>
    <w:rsid w:val="005043E9"/>
    <w:rsid w:val="005060F9"/>
    <w:rsid w:val="0051106C"/>
    <w:rsid w:val="00512BAE"/>
    <w:rsid w:val="00520C0E"/>
    <w:rsid w:val="00522EAE"/>
    <w:rsid w:val="005250F2"/>
    <w:rsid w:val="00525703"/>
    <w:rsid w:val="005260BE"/>
    <w:rsid w:val="00527573"/>
    <w:rsid w:val="005326B5"/>
    <w:rsid w:val="005339BB"/>
    <w:rsid w:val="00536F45"/>
    <w:rsid w:val="00537EE6"/>
    <w:rsid w:val="005447E3"/>
    <w:rsid w:val="00547E75"/>
    <w:rsid w:val="00553860"/>
    <w:rsid w:val="00555016"/>
    <w:rsid w:val="00556212"/>
    <w:rsid w:val="005606AC"/>
    <w:rsid w:val="0056739F"/>
    <w:rsid w:val="0057138A"/>
    <w:rsid w:val="00572B6E"/>
    <w:rsid w:val="005762B0"/>
    <w:rsid w:val="00584716"/>
    <w:rsid w:val="005849E3"/>
    <w:rsid w:val="00584E4F"/>
    <w:rsid w:val="00584E6C"/>
    <w:rsid w:val="00585A15"/>
    <w:rsid w:val="005868F6"/>
    <w:rsid w:val="00586D6C"/>
    <w:rsid w:val="0058733F"/>
    <w:rsid w:val="00587D18"/>
    <w:rsid w:val="00596D1A"/>
    <w:rsid w:val="005A31F5"/>
    <w:rsid w:val="005A65C8"/>
    <w:rsid w:val="005B56BF"/>
    <w:rsid w:val="005B69C2"/>
    <w:rsid w:val="005C27A1"/>
    <w:rsid w:val="005C67D4"/>
    <w:rsid w:val="005C7CC0"/>
    <w:rsid w:val="005D0683"/>
    <w:rsid w:val="005D6F09"/>
    <w:rsid w:val="005E050E"/>
    <w:rsid w:val="005E5A41"/>
    <w:rsid w:val="005E674A"/>
    <w:rsid w:val="005E6E17"/>
    <w:rsid w:val="005E75D0"/>
    <w:rsid w:val="005F6112"/>
    <w:rsid w:val="00601B4D"/>
    <w:rsid w:val="00606AA2"/>
    <w:rsid w:val="00606C4F"/>
    <w:rsid w:val="0061228A"/>
    <w:rsid w:val="0061300E"/>
    <w:rsid w:val="00617A76"/>
    <w:rsid w:val="00621ED0"/>
    <w:rsid w:val="00622238"/>
    <w:rsid w:val="00624BB2"/>
    <w:rsid w:val="00632329"/>
    <w:rsid w:val="00636A3C"/>
    <w:rsid w:val="00637AD1"/>
    <w:rsid w:val="00642CD5"/>
    <w:rsid w:val="006452B3"/>
    <w:rsid w:val="0066295A"/>
    <w:rsid w:val="00663035"/>
    <w:rsid w:val="00664055"/>
    <w:rsid w:val="00666CF9"/>
    <w:rsid w:val="00667457"/>
    <w:rsid w:val="00667A61"/>
    <w:rsid w:val="00670ED6"/>
    <w:rsid w:val="006740B4"/>
    <w:rsid w:val="0067541F"/>
    <w:rsid w:val="006858D5"/>
    <w:rsid w:val="006879D0"/>
    <w:rsid w:val="00687DBB"/>
    <w:rsid w:val="00696B1C"/>
    <w:rsid w:val="006A2B5F"/>
    <w:rsid w:val="006A32C4"/>
    <w:rsid w:val="006A72B8"/>
    <w:rsid w:val="006B576E"/>
    <w:rsid w:val="006C1F05"/>
    <w:rsid w:val="006C2070"/>
    <w:rsid w:val="006D5669"/>
    <w:rsid w:val="006D5B15"/>
    <w:rsid w:val="006D642C"/>
    <w:rsid w:val="006E49EC"/>
    <w:rsid w:val="006F038D"/>
    <w:rsid w:val="006F550C"/>
    <w:rsid w:val="00700EA9"/>
    <w:rsid w:val="0070255A"/>
    <w:rsid w:val="00705BEF"/>
    <w:rsid w:val="00706179"/>
    <w:rsid w:val="007113DD"/>
    <w:rsid w:val="0071430B"/>
    <w:rsid w:val="00720659"/>
    <w:rsid w:val="0072201D"/>
    <w:rsid w:val="00733292"/>
    <w:rsid w:val="00736663"/>
    <w:rsid w:val="007423FD"/>
    <w:rsid w:val="00760C7A"/>
    <w:rsid w:val="007619AD"/>
    <w:rsid w:val="00762330"/>
    <w:rsid w:val="007640E0"/>
    <w:rsid w:val="007652B1"/>
    <w:rsid w:val="0076785E"/>
    <w:rsid w:val="00770616"/>
    <w:rsid w:val="00770E19"/>
    <w:rsid w:val="00772E22"/>
    <w:rsid w:val="00774257"/>
    <w:rsid w:val="00775505"/>
    <w:rsid w:val="00776AE1"/>
    <w:rsid w:val="00785C31"/>
    <w:rsid w:val="007A01B4"/>
    <w:rsid w:val="007A03BE"/>
    <w:rsid w:val="007A07E5"/>
    <w:rsid w:val="007A385D"/>
    <w:rsid w:val="007A3E79"/>
    <w:rsid w:val="007A7362"/>
    <w:rsid w:val="007B5A17"/>
    <w:rsid w:val="007B7729"/>
    <w:rsid w:val="007C2153"/>
    <w:rsid w:val="007C66DE"/>
    <w:rsid w:val="007D0768"/>
    <w:rsid w:val="007D1EED"/>
    <w:rsid w:val="007D224F"/>
    <w:rsid w:val="007D62F3"/>
    <w:rsid w:val="007E0C8A"/>
    <w:rsid w:val="007E3816"/>
    <w:rsid w:val="007F5700"/>
    <w:rsid w:val="00802548"/>
    <w:rsid w:val="00802957"/>
    <w:rsid w:val="008062A9"/>
    <w:rsid w:val="00814AA6"/>
    <w:rsid w:val="008153A8"/>
    <w:rsid w:val="008267EE"/>
    <w:rsid w:val="00827B63"/>
    <w:rsid w:val="0083050D"/>
    <w:rsid w:val="00832E9B"/>
    <w:rsid w:val="008432ED"/>
    <w:rsid w:val="00843F7D"/>
    <w:rsid w:val="008450F3"/>
    <w:rsid w:val="00845511"/>
    <w:rsid w:val="00860046"/>
    <w:rsid w:val="00860271"/>
    <w:rsid w:val="0086227D"/>
    <w:rsid w:val="00863FEE"/>
    <w:rsid w:val="008653E0"/>
    <w:rsid w:val="008730BB"/>
    <w:rsid w:val="00881CA9"/>
    <w:rsid w:val="0088500C"/>
    <w:rsid w:val="0089014A"/>
    <w:rsid w:val="008902CF"/>
    <w:rsid w:val="008966E9"/>
    <w:rsid w:val="008B4A3B"/>
    <w:rsid w:val="008B56E5"/>
    <w:rsid w:val="008C1F77"/>
    <w:rsid w:val="008D3CFE"/>
    <w:rsid w:val="008D5E6C"/>
    <w:rsid w:val="008D7F16"/>
    <w:rsid w:val="008E4534"/>
    <w:rsid w:val="008E54DB"/>
    <w:rsid w:val="008F1045"/>
    <w:rsid w:val="009018E4"/>
    <w:rsid w:val="00903BED"/>
    <w:rsid w:val="00905613"/>
    <w:rsid w:val="00905BF1"/>
    <w:rsid w:val="00912850"/>
    <w:rsid w:val="00913572"/>
    <w:rsid w:val="009171E7"/>
    <w:rsid w:val="00917A3B"/>
    <w:rsid w:val="0092087F"/>
    <w:rsid w:val="0092377F"/>
    <w:rsid w:val="009308D8"/>
    <w:rsid w:val="00930DF7"/>
    <w:rsid w:val="00936537"/>
    <w:rsid w:val="00936821"/>
    <w:rsid w:val="0094276A"/>
    <w:rsid w:val="00942C75"/>
    <w:rsid w:val="00951195"/>
    <w:rsid w:val="00952045"/>
    <w:rsid w:val="00952BA5"/>
    <w:rsid w:val="009554FB"/>
    <w:rsid w:val="00957EEC"/>
    <w:rsid w:val="00963696"/>
    <w:rsid w:val="009642E6"/>
    <w:rsid w:val="009645E2"/>
    <w:rsid w:val="00965CCC"/>
    <w:rsid w:val="00972BA3"/>
    <w:rsid w:val="00972BCD"/>
    <w:rsid w:val="0097304E"/>
    <w:rsid w:val="0097647D"/>
    <w:rsid w:val="00983752"/>
    <w:rsid w:val="00983EF6"/>
    <w:rsid w:val="009853EB"/>
    <w:rsid w:val="00994EDE"/>
    <w:rsid w:val="009959F3"/>
    <w:rsid w:val="00995FFE"/>
    <w:rsid w:val="009A11C1"/>
    <w:rsid w:val="009A27F7"/>
    <w:rsid w:val="009A292D"/>
    <w:rsid w:val="009A4CAF"/>
    <w:rsid w:val="009A69B5"/>
    <w:rsid w:val="009B0D73"/>
    <w:rsid w:val="009B3167"/>
    <w:rsid w:val="009C020C"/>
    <w:rsid w:val="009C44ED"/>
    <w:rsid w:val="009C5D67"/>
    <w:rsid w:val="009C6763"/>
    <w:rsid w:val="009C698C"/>
    <w:rsid w:val="009C7A2D"/>
    <w:rsid w:val="009C7CE4"/>
    <w:rsid w:val="009E18AF"/>
    <w:rsid w:val="009E4A3B"/>
    <w:rsid w:val="009E5D88"/>
    <w:rsid w:val="009F0653"/>
    <w:rsid w:val="009F358E"/>
    <w:rsid w:val="009F7FCB"/>
    <w:rsid w:val="00A00B17"/>
    <w:rsid w:val="00A1042E"/>
    <w:rsid w:val="00A1794D"/>
    <w:rsid w:val="00A207E1"/>
    <w:rsid w:val="00A220C6"/>
    <w:rsid w:val="00A2358C"/>
    <w:rsid w:val="00A2591F"/>
    <w:rsid w:val="00A2663A"/>
    <w:rsid w:val="00A31C85"/>
    <w:rsid w:val="00A32C2E"/>
    <w:rsid w:val="00A33A9E"/>
    <w:rsid w:val="00A40D9F"/>
    <w:rsid w:val="00A623DF"/>
    <w:rsid w:val="00A67B5E"/>
    <w:rsid w:val="00A72E16"/>
    <w:rsid w:val="00A76003"/>
    <w:rsid w:val="00A76D78"/>
    <w:rsid w:val="00A83140"/>
    <w:rsid w:val="00A843DA"/>
    <w:rsid w:val="00A84830"/>
    <w:rsid w:val="00AA2334"/>
    <w:rsid w:val="00AA4DC4"/>
    <w:rsid w:val="00AB05C6"/>
    <w:rsid w:val="00AB66D7"/>
    <w:rsid w:val="00AB694F"/>
    <w:rsid w:val="00AC32C6"/>
    <w:rsid w:val="00AD7BA1"/>
    <w:rsid w:val="00AE2BD5"/>
    <w:rsid w:val="00AF053E"/>
    <w:rsid w:val="00AF11BB"/>
    <w:rsid w:val="00AF5247"/>
    <w:rsid w:val="00AF78C6"/>
    <w:rsid w:val="00AF7CB4"/>
    <w:rsid w:val="00B00961"/>
    <w:rsid w:val="00B01ADE"/>
    <w:rsid w:val="00B07ED5"/>
    <w:rsid w:val="00B12237"/>
    <w:rsid w:val="00B12F3C"/>
    <w:rsid w:val="00B24FF7"/>
    <w:rsid w:val="00B2543C"/>
    <w:rsid w:val="00B26192"/>
    <w:rsid w:val="00B26267"/>
    <w:rsid w:val="00B262CD"/>
    <w:rsid w:val="00B267B4"/>
    <w:rsid w:val="00B33C5E"/>
    <w:rsid w:val="00B40A66"/>
    <w:rsid w:val="00B50CF4"/>
    <w:rsid w:val="00B57B39"/>
    <w:rsid w:val="00B60E9C"/>
    <w:rsid w:val="00B6252E"/>
    <w:rsid w:val="00B6632A"/>
    <w:rsid w:val="00B67C18"/>
    <w:rsid w:val="00B74F9C"/>
    <w:rsid w:val="00B801E0"/>
    <w:rsid w:val="00B83422"/>
    <w:rsid w:val="00B841C1"/>
    <w:rsid w:val="00B86489"/>
    <w:rsid w:val="00B8765A"/>
    <w:rsid w:val="00B91AB2"/>
    <w:rsid w:val="00B955B3"/>
    <w:rsid w:val="00BA15F6"/>
    <w:rsid w:val="00BA3334"/>
    <w:rsid w:val="00BB0CAA"/>
    <w:rsid w:val="00BB11A8"/>
    <w:rsid w:val="00BB2026"/>
    <w:rsid w:val="00BC3B43"/>
    <w:rsid w:val="00BC5535"/>
    <w:rsid w:val="00BD30A7"/>
    <w:rsid w:val="00BD6A1A"/>
    <w:rsid w:val="00BE02A7"/>
    <w:rsid w:val="00BE2788"/>
    <w:rsid w:val="00BE6F4C"/>
    <w:rsid w:val="00BE7E70"/>
    <w:rsid w:val="00BF460C"/>
    <w:rsid w:val="00BF5F9C"/>
    <w:rsid w:val="00C02F99"/>
    <w:rsid w:val="00C03770"/>
    <w:rsid w:val="00C04BFF"/>
    <w:rsid w:val="00C05D8E"/>
    <w:rsid w:val="00C06B20"/>
    <w:rsid w:val="00C06CBE"/>
    <w:rsid w:val="00C123C3"/>
    <w:rsid w:val="00C126DF"/>
    <w:rsid w:val="00C15DBB"/>
    <w:rsid w:val="00C369C9"/>
    <w:rsid w:val="00C444EA"/>
    <w:rsid w:val="00C50DF8"/>
    <w:rsid w:val="00C5114A"/>
    <w:rsid w:val="00C55BB5"/>
    <w:rsid w:val="00C64953"/>
    <w:rsid w:val="00C661A8"/>
    <w:rsid w:val="00C745E3"/>
    <w:rsid w:val="00C75C2E"/>
    <w:rsid w:val="00C766EF"/>
    <w:rsid w:val="00C773FC"/>
    <w:rsid w:val="00C807AA"/>
    <w:rsid w:val="00C80EE6"/>
    <w:rsid w:val="00C817A7"/>
    <w:rsid w:val="00C861B2"/>
    <w:rsid w:val="00CA2A8B"/>
    <w:rsid w:val="00CA65E9"/>
    <w:rsid w:val="00CB243E"/>
    <w:rsid w:val="00CB4339"/>
    <w:rsid w:val="00CB6A55"/>
    <w:rsid w:val="00CC06D4"/>
    <w:rsid w:val="00CC1890"/>
    <w:rsid w:val="00CC480B"/>
    <w:rsid w:val="00CC72C5"/>
    <w:rsid w:val="00CC7310"/>
    <w:rsid w:val="00CD332E"/>
    <w:rsid w:val="00CD41C2"/>
    <w:rsid w:val="00CE06FC"/>
    <w:rsid w:val="00CE4335"/>
    <w:rsid w:val="00CF3C8F"/>
    <w:rsid w:val="00D03331"/>
    <w:rsid w:val="00D073EA"/>
    <w:rsid w:val="00D12776"/>
    <w:rsid w:val="00D12D35"/>
    <w:rsid w:val="00D2092D"/>
    <w:rsid w:val="00D22145"/>
    <w:rsid w:val="00D22D5A"/>
    <w:rsid w:val="00D25E6A"/>
    <w:rsid w:val="00D31AFE"/>
    <w:rsid w:val="00D332D6"/>
    <w:rsid w:val="00D346FC"/>
    <w:rsid w:val="00D35444"/>
    <w:rsid w:val="00D3691D"/>
    <w:rsid w:val="00D371C4"/>
    <w:rsid w:val="00D471D1"/>
    <w:rsid w:val="00D50E81"/>
    <w:rsid w:val="00D634D8"/>
    <w:rsid w:val="00D63C2D"/>
    <w:rsid w:val="00D651FF"/>
    <w:rsid w:val="00D66BAC"/>
    <w:rsid w:val="00D71DEB"/>
    <w:rsid w:val="00D73882"/>
    <w:rsid w:val="00D73E74"/>
    <w:rsid w:val="00D80609"/>
    <w:rsid w:val="00D82BB6"/>
    <w:rsid w:val="00D96CBF"/>
    <w:rsid w:val="00DA100A"/>
    <w:rsid w:val="00DA25AD"/>
    <w:rsid w:val="00DA73E5"/>
    <w:rsid w:val="00DB0090"/>
    <w:rsid w:val="00DB1679"/>
    <w:rsid w:val="00DC2F1C"/>
    <w:rsid w:val="00DC2F84"/>
    <w:rsid w:val="00DC4BA2"/>
    <w:rsid w:val="00DD4C8D"/>
    <w:rsid w:val="00DD52DA"/>
    <w:rsid w:val="00DD7FB4"/>
    <w:rsid w:val="00DF1C7E"/>
    <w:rsid w:val="00DF4AB0"/>
    <w:rsid w:val="00DF66EE"/>
    <w:rsid w:val="00E00371"/>
    <w:rsid w:val="00E07A31"/>
    <w:rsid w:val="00E17346"/>
    <w:rsid w:val="00E23047"/>
    <w:rsid w:val="00E23270"/>
    <w:rsid w:val="00E309FD"/>
    <w:rsid w:val="00E319C4"/>
    <w:rsid w:val="00E403D4"/>
    <w:rsid w:val="00E44A77"/>
    <w:rsid w:val="00E50150"/>
    <w:rsid w:val="00E5049F"/>
    <w:rsid w:val="00E50BE1"/>
    <w:rsid w:val="00E61308"/>
    <w:rsid w:val="00E61E70"/>
    <w:rsid w:val="00E64653"/>
    <w:rsid w:val="00E67E38"/>
    <w:rsid w:val="00E70661"/>
    <w:rsid w:val="00E76995"/>
    <w:rsid w:val="00E80E43"/>
    <w:rsid w:val="00E8311C"/>
    <w:rsid w:val="00E864C2"/>
    <w:rsid w:val="00E87A04"/>
    <w:rsid w:val="00E922B4"/>
    <w:rsid w:val="00E94534"/>
    <w:rsid w:val="00E97970"/>
    <w:rsid w:val="00EA4003"/>
    <w:rsid w:val="00EB0151"/>
    <w:rsid w:val="00EB2B49"/>
    <w:rsid w:val="00EB7ED2"/>
    <w:rsid w:val="00EC43C8"/>
    <w:rsid w:val="00ED1806"/>
    <w:rsid w:val="00ED3F02"/>
    <w:rsid w:val="00ED457C"/>
    <w:rsid w:val="00EE0B92"/>
    <w:rsid w:val="00EE0F0E"/>
    <w:rsid w:val="00EE68D2"/>
    <w:rsid w:val="00EF14B7"/>
    <w:rsid w:val="00EF44AD"/>
    <w:rsid w:val="00F014F8"/>
    <w:rsid w:val="00F077AF"/>
    <w:rsid w:val="00F13937"/>
    <w:rsid w:val="00F17267"/>
    <w:rsid w:val="00F26819"/>
    <w:rsid w:val="00F27587"/>
    <w:rsid w:val="00F307F9"/>
    <w:rsid w:val="00F3131F"/>
    <w:rsid w:val="00F32538"/>
    <w:rsid w:val="00F34A00"/>
    <w:rsid w:val="00F34D93"/>
    <w:rsid w:val="00F62AEB"/>
    <w:rsid w:val="00F66A6D"/>
    <w:rsid w:val="00F707BD"/>
    <w:rsid w:val="00F72010"/>
    <w:rsid w:val="00F76428"/>
    <w:rsid w:val="00F77798"/>
    <w:rsid w:val="00F77B4D"/>
    <w:rsid w:val="00F820F7"/>
    <w:rsid w:val="00F83A44"/>
    <w:rsid w:val="00F85C22"/>
    <w:rsid w:val="00F86B12"/>
    <w:rsid w:val="00F87AC6"/>
    <w:rsid w:val="00F91B05"/>
    <w:rsid w:val="00F94E53"/>
    <w:rsid w:val="00F979AC"/>
    <w:rsid w:val="00FA3D48"/>
    <w:rsid w:val="00FA6353"/>
    <w:rsid w:val="00FB32DE"/>
    <w:rsid w:val="00FB7A50"/>
    <w:rsid w:val="00FC0DF5"/>
    <w:rsid w:val="00FC159C"/>
    <w:rsid w:val="00FC44B5"/>
    <w:rsid w:val="00FC6127"/>
    <w:rsid w:val="00FC6B01"/>
    <w:rsid w:val="00FC7A4D"/>
    <w:rsid w:val="00FD08A0"/>
    <w:rsid w:val="00FD2E42"/>
    <w:rsid w:val="00FD4AA6"/>
    <w:rsid w:val="00FE2B9E"/>
    <w:rsid w:val="00FE6123"/>
    <w:rsid w:val="00FE6555"/>
    <w:rsid w:val="00FF51E1"/>
    <w:rsid w:val="0CBD7985"/>
    <w:rsid w:val="0F3F70FD"/>
    <w:rsid w:val="338F4733"/>
    <w:rsid w:val="7F2C0A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widowControl/>
      <w:spacing w:before="100" w:beforeAutospacing="1" w:after="100" w:afterAutospacing="1"/>
      <w:jc w:val="left"/>
      <w:outlineLvl w:val="1"/>
    </w:pPr>
    <w:rPr>
      <w:rFonts w:ascii="宋体" w:hAnsi="宋体" w:cs="宋体"/>
      <w:b/>
      <w:bCs/>
      <w:kern w:val="0"/>
      <w:sz w:val="36"/>
      <w:szCs w:val="36"/>
    </w:rPr>
  </w:style>
  <w:style w:type="character" w:default="1" w:styleId="10">
    <w:name w:val="Default Paragraph Font"/>
    <w:semiHidden/>
    <w:unhideWhenUsed/>
    <w:uiPriority w:val="1"/>
  </w:style>
  <w:style w:type="table" w:default="1" w:styleId="14">
    <w:name w:val="Normal Table"/>
    <w:semiHidden/>
    <w:unhideWhenUsed/>
    <w:uiPriority w:val="99"/>
    <w:tblPr>
      <w:tblLayout w:type="fixed"/>
      <w:tblCellMar>
        <w:top w:w="0" w:type="dxa"/>
        <w:left w:w="108" w:type="dxa"/>
        <w:bottom w:w="0" w:type="dxa"/>
        <w:right w:w="108" w:type="dxa"/>
      </w:tblCellMar>
    </w:tblPr>
  </w:style>
  <w:style w:type="paragraph" w:styleId="3">
    <w:name w:val="annotation subject"/>
    <w:basedOn w:val="4"/>
    <w:next w:val="4"/>
    <w:link w:val="21"/>
    <w:uiPriority w:val="0"/>
    <w:rPr>
      <w:b/>
      <w:bCs/>
    </w:rPr>
  </w:style>
  <w:style w:type="paragraph" w:styleId="4">
    <w:name w:val="annotation text"/>
    <w:basedOn w:val="1"/>
    <w:link w:val="20"/>
    <w:uiPriority w:val="0"/>
    <w:pPr>
      <w:jc w:val="left"/>
    </w:pPr>
  </w:style>
  <w:style w:type="paragraph" w:styleId="5">
    <w:name w:val="Body Text Indent"/>
    <w:basedOn w:val="1"/>
    <w:uiPriority w:val="0"/>
    <w:pPr>
      <w:widowControl/>
      <w:spacing w:before="100" w:beforeAutospacing="1" w:after="100" w:afterAutospacing="1"/>
      <w:jc w:val="left"/>
    </w:pPr>
    <w:rPr>
      <w:rFonts w:ascii="宋体" w:hAnsi="宋体" w:cs="宋体"/>
      <w:kern w:val="0"/>
      <w:sz w:val="24"/>
    </w:rPr>
  </w:style>
  <w:style w:type="paragraph" w:styleId="6">
    <w:name w:val="Body Text Indent 2"/>
    <w:basedOn w:val="1"/>
    <w:uiPriority w:val="0"/>
    <w:pPr>
      <w:widowControl/>
      <w:spacing w:before="100" w:beforeAutospacing="1" w:after="100" w:afterAutospacing="1"/>
      <w:jc w:val="left"/>
    </w:pPr>
    <w:rPr>
      <w:rFonts w:ascii="宋体" w:hAnsi="宋体" w:cs="宋体"/>
      <w:kern w:val="0"/>
      <w:sz w:val="24"/>
    </w:rPr>
  </w:style>
  <w:style w:type="paragraph" w:styleId="7">
    <w:name w:val="Balloon Text"/>
    <w:basedOn w:val="1"/>
    <w:semiHidden/>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11">
    <w:name w:val="Strong"/>
    <w:qFormat/>
    <w:uiPriority w:val="0"/>
    <w:rPr>
      <w:b/>
      <w:bCs/>
    </w:rPr>
  </w:style>
  <w:style w:type="character" w:styleId="12">
    <w:name w:val="Hyperlink"/>
    <w:qFormat/>
    <w:uiPriority w:val="0"/>
    <w:rPr>
      <w:color w:val="0068B7"/>
      <w:u w:val="none"/>
    </w:rPr>
  </w:style>
  <w:style w:type="character" w:styleId="13">
    <w:name w:val="annotation reference"/>
    <w:basedOn w:val="10"/>
    <w:uiPriority w:val="0"/>
    <w:rPr>
      <w:sz w:val="21"/>
      <w:szCs w:val="21"/>
    </w:rPr>
  </w:style>
  <w:style w:type="table" w:styleId="15">
    <w:name w:val="Table Grid"/>
    <w:basedOn w:val="1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6">
    <w:name w:val="141"/>
    <w:uiPriority w:val="0"/>
    <w:rPr>
      <w:sz w:val="21"/>
      <w:szCs w:val="21"/>
    </w:rPr>
  </w:style>
  <w:style w:type="character" w:customStyle="1" w:styleId="17">
    <w:name w:val="ztag pre"/>
    <w:basedOn w:val="10"/>
    <w:uiPriority w:val="0"/>
  </w:style>
  <w:style w:type="character" w:customStyle="1" w:styleId="18">
    <w:name w:val="已访问的超链接1"/>
    <w:qFormat/>
    <w:uiPriority w:val="0"/>
    <w:rPr>
      <w:color w:val="800080"/>
      <w:u w:val="single"/>
    </w:rPr>
  </w:style>
  <w:style w:type="paragraph" w:styleId="19">
    <w:name w:val="List Paragraph"/>
    <w:basedOn w:val="1"/>
    <w:qFormat/>
    <w:uiPriority w:val="34"/>
    <w:pPr>
      <w:ind w:firstLine="420" w:firstLineChars="200"/>
    </w:pPr>
  </w:style>
  <w:style w:type="character" w:customStyle="1" w:styleId="20">
    <w:name w:val="批注文字 Char"/>
    <w:basedOn w:val="10"/>
    <w:link w:val="4"/>
    <w:uiPriority w:val="0"/>
    <w:rPr>
      <w:kern w:val="2"/>
      <w:sz w:val="21"/>
      <w:szCs w:val="24"/>
    </w:rPr>
  </w:style>
  <w:style w:type="character" w:customStyle="1" w:styleId="21">
    <w:name w:val="批注主题 Char"/>
    <w:basedOn w:val="20"/>
    <w:link w:val="3"/>
    <w:uiPriority w:val="0"/>
    <w:rPr>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E63215-57F8-4D7E-98F2-466D2D13130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413</Words>
  <Characters>2357</Characters>
  <Lines>19</Lines>
  <Paragraphs>5</Paragraphs>
  <TotalTime>0</TotalTime>
  <ScaleCrop>false</ScaleCrop>
  <LinksUpToDate>false</LinksUpToDate>
  <CharactersWithSpaces>2765</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2017-05-04T07:22:00Z</dcterms:created>
  <dc:creator>全美国际教育协会</dc:creator>
  <cp:lastModifiedBy>Gabriella</cp:lastModifiedBy>
  <cp:lastPrinted>2011-12-16T08:54:00Z</cp:lastPrinted>
  <dcterms:modified xsi:type="dcterms:W3CDTF">2018-08-28T02:48:19Z</dcterms:modified>
  <dc:title>加州大学河滨分校短期访学项目</dc:title>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