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</w:p>
    <w:p>
      <w:pPr>
        <w:widowControl/>
        <w:spacing w:line="360" w:lineRule="auto"/>
        <w:jc w:val="center"/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加拿大多伦多大学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访学项目选拔通知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（</w:t>
      </w:r>
      <w:r>
        <w:rPr>
          <w:rFonts w:cs="Calibri" w:asciiTheme="minorHAnsi" w:hAnsiTheme="minorHAnsi"/>
          <w:kern w:val="0"/>
          <w:szCs w:val="21"/>
        </w:rPr>
        <w:t>2018年</w:t>
      </w:r>
      <w:r>
        <w:rPr>
          <w:rFonts w:hint="eastAsia" w:cs="Calibri" w:asciiTheme="minorHAnsi" w:hAnsiTheme="minorHAnsi"/>
          <w:kern w:val="0"/>
          <w:szCs w:val="21"/>
        </w:rPr>
        <w:t>暑期</w:t>
      </w:r>
      <w:r>
        <w:rPr>
          <w:rFonts w:asciiTheme="minorHAnsi" w:hAnsiTheme="minorHAnsi" w:eastAsiaTheme="majorEastAsia" w:cstheme="minorHAnsi"/>
          <w:kern w:val="0"/>
          <w:szCs w:val="21"/>
        </w:rPr>
        <w:t>）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各学院：</w:t>
      </w:r>
    </w:p>
    <w:p>
      <w:pPr>
        <w:widowControl/>
        <w:spacing w:line="360" w:lineRule="auto"/>
        <w:ind w:firstLine="42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依据我校发展国际化教育的方针和校际合作协议，为实施我校的教育国际化战略，培养具有国际视野和国际竞争力的高素质人才，鼓励我校学生出国（境）深造获得第二校园的学习经历，</w:t>
      </w:r>
      <w:r>
        <w:rPr>
          <w:rFonts w:cs="Calibri" w:asciiTheme="minorHAnsi" w:hAnsiTheme="minorHAnsi"/>
          <w:kern w:val="0"/>
          <w:szCs w:val="21"/>
        </w:rPr>
        <w:t>2018年</w:t>
      </w:r>
      <w:r>
        <w:rPr>
          <w:rFonts w:hint="eastAsia" w:cs="Calibri" w:asciiTheme="minorHAnsi" w:hAnsiTheme="minorHAnsi"/>
          <w:kern w:val="0"/>
          <w:szCs w:val="21"/>
        </w:rPr>
        <w:t>暑期</w:t>
      </w:r>
      <w:r>
        <w:rPr>
          <w:rFonts w:cs="Calibri" w:asciiTheme="minorHAnsi" w:hAnsiTheme="minorHAnsi"/>
          <w:kern w:val="0"/>
          <w:szCs w:val="21"/>
        </w:rPr>
        <w:t>，</w:t>
      </w:r>
      <w:r>
        <w:rPr>
          <w:rFonts w:cs="Calibri" w:asciiTheme="minorHAnsi" w:hAnsiTheme="minorHAnsi"/>
          <w:szCs w:val="21"/>
        </w:rPr>
        <w:t>我校将选派指定名额的优秀在校生前往加拿大顶级学府多伦多大学，</w:t>
      </w:r>
      <w:r>
        <w:rPr>
          <w:rFonts w:hint="eastAsia" w:cs="Calibri" w:asciiTheme="minorHAnsi" w:hAnsiTheme="minorHAnsi"/>
          <w:szCs w:val="21"/>
        </w:rPr>
        <w:t>在多伦多大学New College（新书院）参加为期四周的访问学习</w:t>
      </w:r>
      <w:r>
        <w:rPr>
          <w:rFonts w:cs="Calibri" w:asciiTheme="minorHAnsi" w:hAnsiTheme="minorHAnsi"/>
          <w:szCs w:val="21"/>
        </w:rPr>
        <w:t>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项目介绍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1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、多伦多大学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及新书院简介</w:t>
      </w:r>
    </w:p>
    <w:p>
      <w:pPr>
        <w:widowControl/>
        <w:spacing w:line="360" w:lineRule="auto"/>
        <w:ind w:firstLine="420" w:firstLineChars="20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cs="Arial" w:asciiTheme="minorHAnsi" w:hAnsiTheme="minorHAnsi"/>
          <w:color w:val="333333"/>
          <w:kern w:val="0"/>
          <w:szCs w:val="21"/>
        </w:rPr>
        <w:t>多伦多大学 (University of Toronto)，始建于1827年，是加拿大的一所顶尖学府，也是世界范围享有盛誉的</w:t>
      </w:r>
      <w:r>
        <w:rPr>
          <w:rFonts w:cs="Arial" w:asciiTheme="minorHAnsi" w:hAnsiTheme="minorHAnsi"/>
          <w:bCs/>
          <w:color w:val="333333"/>
          <w:kern w:val="0"/>
          <w:szCs w:val="21"/>
        </w:rPr>
        <w:t>公立研究性大学</w:t>
      </w:r>
      <w:r>
        <w:rPr>
          <w:rFonts w:cs="Arial" w:asciiTheme="minorHAnsi" w:hAnsiTheme="minorHAnsi"/>
          <w:color w:val="333333"/>
          <w:kern w:val="0"/>
          <w:szCs w:val="21"/>
        </w:rPr>
        <w:t>。</w:t>
      </w:r>
      <w:r>
        <w:rPr>
          <w:rFonts w:asciiTheme="minorHAnsi" w:hAnsiTheme="minorHAnsi"/>
        </w:rPr>
        <w:t>在201</w:t>
      </w:r>
      <w:r>
        <w:rPr>
          <w:rFonts w:hint="eastAsia" w:asciiTheme="minorHAnsi" w:hAnsiTheme="minorHAnsi"/>
        </w:rPr>
        <w:t>8</w:t>
      </w:r>
      <w:r>
        <w:rPr>
          <w:rFonts w:asciiTheme="minorHAnsi" w:hAnsiTheme="minorHAnsi"/>
        </w:rPr>
        <w:t>年《美国新闻与世界报道》发布的全球大学综合排名中，多伦多大学排名第2</w:t>
      </w:r>
      <w:r>
        <w:rPr>
          <w:rFonts w:hint="eastAsia" w:asciiTheme="minorHAnsi" w:hAnsiTheme="minorHAnsi"/>
        </w:rPr>
        <w:t>0</w:t>
      </w:r>
      <w:r>
        <w:rPr>
          <w:rFonts w:asciiTheme="minorHAnsi" w:hAnsiTheme="minorHAnsi"/>
        </w:rPr>
        <w:t>位</w:t>
      </w:r>
      <w:r>
        <w:rPr>
          <w:rFonts w:hint="eastAsia" w:asciiTheme="minorHAnsi" w:hAnsiTheme="minorHAnsi"/>
        </w:rPr>
        <w:t>；</w:t>
      </w:r>
      <w:r>
        <w:rPr>
          <w:rFonts w:asciiTheme="minorHAnsi" w:hAnsiTheme="minorHAnsi"/>
        </w:rPr>
        <w:t>在</w:t>
      </w:r>
      <w:r>
        <w:rPr>
          <w:rFonts w:hint="eastAsia" w:asciiTheme="minorHAnsi" w:hAnsiTheme="minorHAnsi"/>
        </w:rPr>
        <w:t>2018年Times高等教育世界大学综合排名中，</w:t>
      </w:r>
      <w:r>
        <w:rPr>
          <w:rFonts w:asciiTheme="minorHAnsi" w:hAnsiTheme="minorHAnsi"/>
        </w:rPr>
        <w:t>多伦多大学排名第</w:t>
      </w:r>
      <w:r>
        <w:rPr>
          <w:rFonts w:hint="eastAsia" w:asciiTheme="minorHAnsi" w:hAnsiTheme="minorHAnsi"/>
        </w:rPr>
        <w:t>22</w:t>
      </w:r>
      <w:r>
        <w:rPr>
          <w:rFonts w:asciiTheme="minorHAnsi" w:hAnsiTheme="minorHAnsi"/>
        </w:rPr>
        <w:t>位</w:t>
      </w:r>
      <w:r>
        <w:rPr>
          <w:rFonts w:hint="eastAsia" w:asciiTheme="minorHAnsi" w:hAnsiTheme="minorHAnsi"/>
        </w:rPr>
        <w:t>。</w:t>
      </w:r>
      <w:r>
        <w:rPr>
          <w:rFonts w:asciiTheme="minorHAnsi" w:hAnsiTheme="minorHAnsi"/>
        </w:rPr>
        <w:t>同时，该校也是</w:t>
      </w:r>
      <w:r>
        <w:rPr>
          <w:rFonts w:cs="Arial" w:asciiTheme="minorHAnsi" w:hAnsiTheme="minorHAnsi"/>
          <w:color w:val="333333"/>
          <w:kern w:val="0"/>
        </w:rPr>
        <w:t>美国大学协会</w:t>
      </w:r>
      <w:r>
        <w:rPr>
          <w:rFonts w:cs="Arial" w:asciiTheme="minorHAnsi" w:hAnsiTheme="minorHAnsi"/>
          <w:color w:val="333333"/>
          <w:kern w:val="0"/>
          <w:szCs w:val="21"/>
        </w:rPr>
        <w:t>（北美大学联盟）中仅有的两所非美国学府之一。</w:t>
      </w:r>
      <w:r>
        <w:rPr>
          <w:rFonts w:hint="eastAsia" w:cs="Arial" w:asciiTheme="minorHAnsi" w:hAnsiTheme="minorHAnsi"/>
          <w:color w:val="333333"/>
          <w:kern w:val="0"/>
          <w:szCs w:val="21"/>
        </w:rPr>
        <w:br w:type="textWrapping"/>
      </w:r>
      <w:r>
        <w:rPr>
          <w:rFonts w:hint="eastAsia" w:cs="Arial" w:asciiTheme="minorHAnsi" w:hAnsiTheme="minorHAnsi"/>
          <w:color w:val="333333"/>
          <w:kern w:val="0"/>
          <w:szCs w:val="21"/>
        </w:rPr>
        <w:t xml:space="preserve">    </w:t>
      </w:r>
      <w:r>
        <w:rPr>
          <w:rFonts w:cs="Arial" w:asciiTheme="minorHAnsi" w:hAnsiTheme="minorHAnsi"/>
          <w:color w:val="333333"/>
          <w:kern w:val="0"/>
          <w:szCs w:val="21"/>
        </w:rPr>
        <w:t>多伦多大学是北美地区为数不多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沿袭</w:t>
      </w:r>
      <w:r>
        <w:rPr>
          <w:rFonts w:cs="Arial" w:asciiTheme="minorHAnsi" w:hAnsiTheme="minorHAnsi"/>
          <w:color w:val="333333"/>
          <w:kern w:val="0"/>
          <w:szCs w:val="21"/>
        </w:rPr>
        <w:t>古老</w:t>
      </w:r>
      <w:r>
        <w:rPr>
          <w:rFonts w:ascii="Arial" w:hAnsi="Arial" w:cs="Arial"/>
          <w:color w:val="333333"/>
          <w:szCs w:val="21"/>
          <w:shd w:val="clear" w:color="auto" w:fill="FFFFFF"/>
        </w:rPr>
        <w:t>的书院联邦制的大学</w:t>
      </w:r>
      <w:r>
        <w:rPr>
          <w:rFonts w:hint="eastAsia" w:ascii="Arial" w:hAnsi="Arial" w:cs="Arial"/>
          <w:color w:val="333333"/>
          <w:kern w:val="0"/>
          <w:szCs w:val="21"/>
        </w:rPr>
        <w:t>，一直保留至今。在</w:t>
      </w:r>
      <w:r>
        <w:rPr>
          <w:rFonts w:ascii="Arial" w:hAnsi="Arial" w:cs="Arial"/>
          <w:color w:val="333333"/>
          <w:kern w:val="0"/>
          <w:szCs w:val="21"/>
        </w:rPr>
        <w:t>多大的主校区</w:t>
      </w:r>
      <w:r>
        <w:rPr>
          <w:rFonts w:hint="eastAsia" w:ascii="Arial" w:hAnsi="Arial" w:cs="Arial"/>
          <w:color w:val="333333"/>
          <w:kern w:val="0"/>
          <w:szCs w:val="21"/>
        </w:rPr>
        <w:t>圣乔治校区，共有七所本科生院。其中，创建于1962年的新书院（New College）是最大的一所学院，学生数量超过5,000名。新书院致力于为学生提供高质量的学术支持、跨学科课程、学习设施以及住宿体验。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Arial" w:hAnsi="Arial" w:cs="Arial"/>
          <w:color w:val="333333"/>
          <w:kern w:val="0"/>
          <w:szCs w:val="21"/>
        </w:rPr>
      </w:pPr>
      <w:r>
        <w:rPr>
          <w:rFonts w:hint="eastAsia" w:cs="Arial" w:asciiTheme="minorHAnsi" w:hAnsiTheme="minorHAnsi"/>
          <w:color w:val="333333"/>
          <w:kern w:val="0"/>
          <w:szCs w:val="21"/>
        </w:rPr>
        <w:t>多伦多大学所处的城市多伦多，是</w:t>
      </w:r>
      <w:r>
        <w:rPr>
          <w:rFonts w:hint="eastAsia" w:ascii="Arial" w:hAnsi="Arial" w:cs="Arial"/>
          <w:color w:val="333333"/>
          <w:kern w:val="0"/>
          <w:szCs w:val="21"/>
        </w:rPr>
        <w:t>加拿大第一大城市与北美第四大城市，也是世界著名的最多元化、最安全宜居的国际化大都市，拥有怡人的环境和高品质的生活。</w:t>
      </w:r>
    </w:p>
    <w:p>
      <w:pPr>
        <w:widowControl/>
        <w:spacing w:line="360" w:lineRule="auto"/>
        <w:ind w:firstLine="422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br w:type="textWrapping"/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2、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</w:t>
      </w:r>
      <w:r>
        <w:rPr>
          <w:rFonts w:asciiTheme="minorHAnsi" w:hAnsiTheme="minorHAnsi" w:eastAsiaTheme="majorEastAsia" w:cstheme="minorHAnsi"/>
          <w:b/>
          <w:szCs w:val="21"/>
        </w:rPr>
        <w:t>访学</w:t>
      </w:r>
      <w:r>
        <w:rPr>
          <w:rFonts w:hint="eastAsia" w:asciiTheme="minorHAnsi" w:hAnsiTheme="minorHAnsi" w:eastAsiaTheme="majorEastAsia" w:cstheme="minorHAnsi"/>
          <w:b/>
          <w:szCs w:val="21"/>
        </w:rPr>
        <w:t>时间及课程内容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课程时间：</w:t>
      </w:r>
      <w:r>
        <w:rPr>
          <w:rFonts w:asciiTheme="minorHAnsi" w:hAnsiTheme="minorHAnsi" w:eastAsiaTheme="majorEastAsia" w:cstheme="minorHAnsi"/>
          <w:b/>
          <w:szCs w:val="21"/>
        </w:rPr>
        <w:t>2018年</w:t>
      </w:r>
      <w:r>
        <w:rPr>
          <w:rFonts w:hint="eastAsia" w:asciiTheme="minorHAnsi" w:hAnsiTheme="minorHAnsi" w:eastAsiaTheme="majorEastAsia" w:cstheme="minorHAnsi"/>
          <w:b/>
          <w:szCs w:val="21"/>
        </w:rPr>
        <w:t xml:space="preserve">7月30日 </w:t>
      </w:r>
      <w:r>
        <w:rPr>
          <w:rFonts w:asciiTheme="minorHAnsi" w:hAnsiTheme="minorHAnsi" w:eastAsiaTheme="majorEastAsia" w:cstheme="minorHAnsi"/>
          <w:b/>
          <w:szCs w:val="21"/>
        </w:rPr>
        <w:t>–</w:t>
      </w:r>
      <w:r>
        <w:rPr>
          <w:rFonts w:hint="eastAsia" w:asciiTheme="minorHAnsi" w:hAnsiTheme="minorHAnsi" w:eastAsiaTheme="majorEastAsia" w:cstheme="minorHAnsi"/>
          <w:b/>
          <w:szCs w:val="21"/>
        </w:rPr>
        <w:t xml:space="preserve"> 8月24日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参加多伦多大学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新书院2018年暑期访学</w:t>
      </w:r>
      <w:r>
        <w:rPr>
          <w:rFonts w:asciiTheme="minorHAnsi" w:hAnsiTheme="minorHAnsi" w:eastAsiaTheme="majorEastAsia" w:cstheme="minorHAnsi"/>
          <w:kern w:val="0"/>
          <w:szCs w:val="21"/>
        </w:rPr>
        <w:t>项目的学生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，</w:t>
      </w:r>
      <w:r>
        <w:rPr>
          <w:rFonts w:asciiTheme="minorHAnsi" w:hAnsiTheme="minorHAnsi" w:eastAsiaTheme="majorEastAsia" w:cstheme="minorHAnsi"/>
          <w:szCs w:val="21"/>
        </w:rPr>
        <w:t>可选报两类</w:t>
      </w:r>
      <w:r>
        <w:rPr>
          <w:rFonts w:hint="eastAsia" w:asciiTheme="minorHAnsi" w:hAnsiTheme="minorHAnsi" w:eastAsiaTheme="majorEastAsia" w:cstheme="minorHAnsi"/>
          <w:szCs w:val="21"/>
        </w:rPr>
        <w:t>语言</w:t>
      </w:r>
      <w:r>
        <w:rPr>
          <w:rFonts w:asciiTheme="minorHAnsi" w:hAnsiTheme="minorHAnsi" w:eastAsiaTheme="majorEastAsia" w:cstheme="minorHAnsi"/>
          <w:szCs w:val="21"/>
        </w:rPr>
        <w:t>文化课程</w:t>
      </w:r>
      <w:r>
        <w:rPr>
          <w:rFonts w:hint="eastAsia" w:asciiTheme="minorHAnsi" w:hAnsiTheme="minorHAnsi" w:eastAsiaTheme="majorEastAsia" w:cstheme="minorHAnsi"/>
          <w:szCs w:val="21"/>
        </w:rPr>
        <w:t>：</w:t>
      </w:r>
      <w:r>
        <w:rPr>
          <w:rFonts w:asciiTheme="minorHAnsi" w:hAnsiTheme="minorHAnsi" w:eastAsiaTheme="majorEastAsia" w:cstheme="minorHAnsi"/>
          <w:szCs w:val="21"/>
        </w:rPr>
        <w:t xml:space="preserve"> 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  <w:u w:val="single"/>
        </w:rPr>
      </w:pPr>
      <w:r>
        <w:rPr>
          <w:rFonts w:hint="eastAsia" w:asciiTheme="minorHAnsi" w:hAnsiTheme="minorHAnsi" w:eastAsiaTheme="majorEastAsia" w:cstheme="minorHAnsi"/>
          <w:szCs w:val="21"/>
          <w:u w:val="single"/>
        </w:rPr>
        <w:t>课程一：通用英语课程（General English Course）</w:t>
      </w:r>
    </w:p>
    <w:p>
      <w:pPr>
        <w:spacing w:line="360" w:lineRule="auto"/>
        <w:ind w:firstLine="420" w:firstLineChars="200"/>
        <w:rPr>
          <w:rFonts w:hint="eastAsia"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本课程每周约15课时，通常上课时间为上午9点-12点。课程从初级至高级共分为4个级别，旨在全方位提升学生的英语技能，包括口语、听力、写作、阅读与词汇。通过参加本课程，学生将获得英语沟通方面的自信，同时提高语言的流利度和精准度，从而能够更好地使用英语参与不同类型的活动，比如协作项目、参与讨论、进行演示等。</w:t>
      </w:r>
    </w:p>
    <w:p>
      <w:pPr>
        <w:spacing w:line="360" w:lineRule="auto"/>
        <w:ind w:firstLine="420" w:firstLineChars="200"/>
        <w:rPr>
          <w:rFonts w:hint="eastAsia" w:asciiTheme="minorHAnsi" w:hAnsiTheme="minorHAnsi" w:eastAsiaTheme="majorEastAsia" w:cstheme="minorHAnsi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szCs w:val="21"/>
          <w:u w:val="single"/>
        </w:rPr>
      </w:pPr>
      <w:r>
        <w:rPr>
          <w:rFonts w:hint="eastAsia" w:asciiTheme="minorHAnsi" w:hAnsiTheme="minorHAnsi" w:eastAsiaTheme="majorEastAsia" w:cstheme="minorHAnsi"/>
          <w:szCs w:val="21"/>
          <w:u w:val="single"/>
        </w:rPr>
        <w:t>课程二：全球商务英语（English for Global Business）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 xml:space="preserve">     本课程每周约15课时，通常上课时间为上午9点-12点。参加本课程的学生需具备中级以上的英语水平。课程主要针对有志于从事商业领域工作的学生，提升学生在商务英语方面的流利度与自信心，比如业务介绍、电话或面谈、参加商务会议、进行商业演示、撰写有效的电子邮件、以及跨文化商务沟通等。</w:t>
      </w:r>
    </w:p>
    <w:p>
      <w:pPr>
        <w:spacing w:line="360" w:lineRule="auto"/>
        <w:ind w:firstLine="630" w:firstLineChars="3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除了核心必修课之外，学生每周还将参加约10小时的选修课，通常上课时间为下午1点-3点，可选课程包括口语与语音课程、托福预备课程、雅思预备课程等。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ind w:firstLine="630" w:firstLineChars="300"/>
        <w:rPr>
          <w:rFonts w:cs="Calibri" w:asciiTheme="minorHAnsi" w:hAnsiTheme="minorHAnsi"/>
          <w:sz w:val="22"/>
          <w:szCs w:val="22"/>
        </w:rPr>
      </w:pPr>
      <w:r>
        <w:rPr>
          <w:rFonts w:asciiTheme="minorHAnsi" w:hAnsiTheme="minorHAnsi" w:eastAsiaTheme="majorEastAsia" w:cstheme="minorHAnsi"/>
          <w:szCs w:val="21"/>
        </w:rPr>
        <w:t>参加</w:t>
      </w:r>
      <w:r>
        <w:rPr>
          <w:rFonts w:hint="eastAsia" w:asciiTheme="minorHAnsi" w:hAnsiTheme="minorHAnsi" w:eastAsiaTheme="majorEastAsia" w:cstheme="minorHAnsi"/>
          <w:szCs w:val="21"/>
        </w:rPr>
        <w:t>课程</w:t>
      </w:r>
      <w:r>
        <w:rPr>
          <w:rFonts w:asciiTheme="minorHAnsi" w:hAnsiTheme="minorHAnsi" w:eastAsiaTheme="majorEastAsia" w:cstheme="minorHAnsi"/>
          <w:szCs w:val="21"/>
        </w:rPr>
        <w:t>的学生与多伦多大学在读的语言项目学生混合编班，由多大进行统一的学术管理与学术考核，获得多大</w:t>
      </w:r>
      <w:r>
        <w:rPr>
          <w:rFonts w:hint="eastAsia" w:asciiTheme="minorHAnsi" w:hAnsiTheme="minorHAnsi" w:eastAsiaTheme="majorEastAsia" w:cstheme="minorHAnsi"/>
          <w:szCs w:val="21"/>
        </w:rPr>
        <w:t>新书院颁发的</w:t>
      </w:r>
      <w:r>
        <w:rPr>
          <w:rFonts w:asciiTheme="minorHAnsi" w:hAnsiTheme="minorHAnsi" w:eastAsiaTheme="majorEastAsia" w:cstheme="minorHAnsi"/>
          <w:szCs w:val="21"/>
        </w:rPr>
        <w:t>正式成绩单与项目证书。</w:t>
      </w:r>
      <w:r>
        <w:rPr>
          <w:rFonts w:hint="eastAsia" w:asciiTheme="minorHAnsi" w:hAnsiTheme="minorHAnsi" w:eastAsiaTheme="majorEastAsia" w:cstheme="minorHAnsi"/>
          <w:szCs w:val="21"/>
        </w:rPr>
        <w:t>同时，</w:t>
      </w:r>
      <w:r>
        <w:rPr>
          <w:rFonts w:hint="eastAsia" w:cs="Calibri" w:asciiTheme="minorHAnsi" w:hAnsiTheme="minorHAnsi"/>
          <w:sz w:val="22"/>
          <w:szCs w:val="22"/>
        </w:rPr>
        <w:t>学生还可入住多大新书院的学校宿舍。</w:t>
      </w:r>
    </w:p>
    <w:p>
      <w:pPr>
        <w:spacing w:line="360" w:lineRule="auto"/>
        <w:ind w:firstLine="630" w:firstLineChars="300"/>
        <w:rPr>
          <w:rFonts w:asciiTheme="minorHAnsi" w:hAnsiTheme="minorHAnsi" w:eastAsiaTheme="majorEastAsia" w:cstheme="minorHAnsi"/>
          <w:szCs w:val="21"/>
        </w:rPr>
      </w:pPr>
    </w:p>
    <w:p>
      <w:pPr>
        <w:pStyle w:val="2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Cs/>
          <w:kern w:val="0"/>
          <w:szCs w:val="21"/>
        </w:rPr>
        <w:t>项目费用</w:t>
      </w:r>
    </w:p>
    <w:p>
      <w:pPr>
        <w:widowControl/>
        <w:spacing w:line="360" w:lineRule="auto"/>
        <w:ind w:left="420" w:left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多伦多大</w:t>
      </w:r>
      <w:r>
        <w:rPr>
          <w:rFonts w:asciiTheme="minorHAnsi" w:hAnsiTheme="minorHAnsi" w:eastAsiaTheme="majorEastAsia" w:cstheme="minorHAnsi"/>
          <w:szCs w:val="21"/>
        </w:rPr>
        <w:t>学新书院</w:t>
      </w:r>
      <w:r>
        <w:rPr>
          <w:rFonts w:hint="eastAsia" w:asciiTheme="minorHAnsi" w:hAnsiTheme="minorHAnsi" w:eastAsiaTheme="majorEastAsia" w:cstheme="minorHAnsi"/>
          <w:szCs w:val="21"/>
        </w:rPr>
        <w:t>2018暑期</w:t>
      </w:r>
      <w:r>
        <w:rPr>
          <w:rFonts w:asciiTheme="minorHAnsi" w:hAnsiTheme="minorHAnsi" w:eastAsiaTheme="majorEastAsia" w:cstheme="minorHAnsi"/>
          <w:szCs w:val="21"/>
        </w:rPr>
        <w:t>语言课程的费用</w:t>
      </w:r>
      <w:r>
        <w:rPr>
          <w:rFonts w:hint="eastAsia" w:asciiTheme="minorHAnsi" w:hAnsiTheme="minorHAnsi" w:eastAsiaTheme="majorEastAsia" w:cstheme="minorHAnsi"/>
          <w:szCs w:val="21"/>
        </w:rPr>
        <w:t>约</w:t>
      </w:r>
      <w:r>
        <w:rPr>
          <w:rFonts w:asciiTheme="minorHAnsi" w:hAnsiTheme="minorHAnsi" w:eastAsiaTheme="majorEastAsia" w:cstheme="minorHAnsi"/>
          <w:szCs w:val="21"/>
        </w:rPr>
        <w:t>为</w:t>
      </w:r>
      <w:r>
        <w:rPr>
          <w:rFonts w:hint="eastAsia" w:asciiTheme="minorHAnsi" w:hAnsiTheme="minorHAnsi" w:eastAsiaTheme="majorEastAsia" w:cstheme="minorHAnsi"/>
          <w:szCs w:val="21"/>
        </w:rPr>
        <w:t>4,215加元（约合人民币2.1万元），</w:t>
      </w:r>
    </w:p>
    <w:p>
      <w:pPr>
        <w:widowControl/>
        <w:spacing w:line="360" w:lineRule="auto"/>
        <w:jc w:val="left"/>
        <w:rPr>
          <w:rFonts w:cs="Calibri"/>
          <w:color w:val="000000"/>
          <w:sz w:val="22"/>
          <w:szCs w:val="22"/>
        </w:rPr>
      </w:pPr>
      <w:r>
        <w:rPr>
          <w:rFonts w:hint="eastAsia" w:asciiTheme="minorHAnsi" w:hAnsiTheme="minorHAnsi" w:eastAsiaTheme="majorEastAsia" w:cstheme="minorHAnsi"/>
          <w:szCs w:val="21"/>
        </w:rPr>
        <w:t>包括申请费与快递费、</w:t>
      </w:r>
      <w:r>
        <w:rPr>
          <w:rFonts w:hint="eastAsia" w:cs="Calibri"/>
          <w:color w:val="000000"/>
          <w:sz w:val="22"/>
          <w:szCs w:val="22"/>
        </w:rPr>
        <w:t>学费、医疗保险费与项目设计管理费；费用不含机票、签证、住宿费用与其它个人花费。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pStyle w:val="2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20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仅限本校全日制在校生；且成绩优异、道德品质好，在校期间未受过纪律处分，身心健康，能顺利完成</w:t>
      </w:r>
      <w:r>
        <w:rPr>
          <w:rFonts w:hint="eastAsia" w:asciiTheme="minorHAnsi" w:hAnsiTheme="minorHAnsi" w:eastAsiaTheme="majorEastAsia" w:cstheme="minorHAnsi"/>
          <w:szCs w:val="21"/>
        </w:rPr>
        <w:t>海外</w:t>
      </w:r>
      <w:r>
        <w:rPr>
          <w:rFonts w:asciiTheme="minorHAnsi" w:hAnsiTheme="minorHAnsi" w:eastAsiaTheme="majorEastAsia" w:cstheme="minorHAnsi"/>
          <w:szCs w:val="21"/>
        </w:rPr>
        <w:t>学习任务；</w:t>
      </w:r>
    </w:p>
    <w:p>
      <w:pPr>
        <w:pStyle w:val="20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年龄：学生开课时需已满18岁；</w:t>
      </w:r>
    </w:p>
    <w:p>
      <w:pPr>
        <w:pStyle w:val="20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英语要求，</w:t>
      </w:r>
      <w:r>
        <w:rPr>
          <w:rFonts w:asciiTheme="minorHAnsi" w:hAnsiTheme="minorHAnsi" w:eastAsiaTheme="majorEastAsia" w:cstheme="minorHAnsi"/>
          <w:szCs w:val="21"/>
        </w:rPr>
        <w:t>具有良好的英语基础</w:t>
      </w:r>
      <w:r>
        <w:rPr>
          <w:rFonts w:hint="eastAsia" w:asciiTheme="minorHAnsi" w:hAnsiTheme="minorHAnsi" w:eastAsiaTheme="majorEastAsia" w:cstheme="minorHAnsi"/>
          <w:szCs w:val="21"/>
        </w:rPr>
        <w:t>，</w:t>
      </w:r>
      <w:r>
        <w:rPr>
          <w:rFonts w:asciiTheme="minorHAnsi" w:hAnsiTheme="minorHAnsi" w:eastAsiaTheme="majorEastAsia" w:cstheme="minorHAnsi"/>
          <w:szCs w:val="21"/>
        </w:rPr>
        <w:t>入学参加语言测试</w:t>
      </w:r>
      <w:r>
        <w:rPr>
          <w:rFonts w:hint="eastAsia" w:asciiTheme="minorHAnsi" w:hAnsiTheme="minorHAnsi" w:eastAsiaTheme="majorEastAsia" w:cstheme="minorHAnsi"/>
          <w:szCs w:val="21"/>
        </w:rPr>
        <w:t>；</w:t>
      </w:r>
      <w:r>
        <w:rPr>
          <w:rFonts w:asciiTheme="minorHAnsi" w:hAnsiTheme="minorHAnsi" w:eastAsiaTheme="majorEastAsia" w:cstheme="minorHAnsi"/>
          <w:szCs w:val="21"/>
        </w:rPr>
        <w:t>参加全球商务英语的学生</w:t>
      </w:r>
      <w:r>
        <w:rPr>
          <w:rFonts w:hint="eastAsia" w:asciiTheme="minorHAnsi" w:hAnsiTheme="minorHAnsi" w:eastAsiaTheme="majorEastAsia" w:cstheme="minorHAnsi"/>
          <w:szCs w:val="21"/>
        </w:rPr>
        <w:t>，</w:t>
      </w:r>
      <w:r>
        <w:rPr>
          <w:rFonts w:asciiTheme="minorHAnsi" w:hAnsiTheme="minorHAnsi" w:eastAsiaTheme="majorEastAsia" w:cstheme="minorHAnsi"/>
          <w:szCs w:val="21"/>
        </w:rPr>
        <w:t>需具备中级以上的英语水平</w:t>
      </w:r>
      <w:r>
        <w:rPr>
          <w:rFonts w:hint="eastAsia" w:asciiTheme="minorHAnsi" w:hAnsiTheme="minorHAnsi" w:eastAsiaTheme="majorEastAsia" w:cstheme="minorHAnsi"/>
          <w:szCs w:val="21"/>
        </w:rPr>
        <w:t xml:space="preserve">； </w:t>
      </w:r>
    </w:p>
    <w:p>
      <w:pPr>
        <w:pStyle w:val="20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家庭具有一定经济基础，能够提供访学所需学费及生活费；</w:t>
      </w:r>
    </w:p>
    <w:p>
      <w:pPr>
        <w:pStyle w:val="20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通过全美国际教育协会的项目面试、</w:t>
      </w:r>
      <w:r>
        <w:rPr>
          <w:rFonts w:hint="eastAsia" w:asciiTheme="minorHAnsi" w:hAnsiTheme="minorHAnsi" w:eastAsiaTheme="majorEastAsia" w:cstheme="minorHAnsi"/>
          <w:szCs w:val="21"/>
        </w:rPr>
        <w:t>加方</w:t>
      </w:r>
      <w:r>
        <w:rPr>
          <w:rFonts w:asciiTheme="minorHAnsi" w:hAnsiTheme="minorHAnsi" w:eastAsiaTheme="majorEastAsia" w:cstheme="minorHAnsi"/>
          <w:szCs w:val="21"/>
        </w:rPr>
        <w:t>大学的学术审核、以及我校院系及国际交流处的派出资格审核。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项目申请录取方式和报名流程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1、学生本人提出申请，在学校国际合作与交流处报名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报名方式：</w:t>
      </w:r>
      <w:r>
        <w:rPr>
          <w:rFonts w:hint="eastAsia" w:ascii="宋体" w:hAnsi="宋体" w:eastAsia="宋体" w:cs="宋体"/>
          <w:kern w:val="0"/>
          <w:sz w:val="21"/>
          <w:szCs w:val="21"/>
        </w:rPr>
        <w:t>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西安工程大学</w:t>
      </w:r>
      <w:r>
        <w:rPr>
          <w:rFonts w:hint="eastAsia" w:ascii="宋体" w:hAnsi="宋体" w:eastAsia="宋体" w:cs="宋体"/>
          <w:kern w:val="0"/>
          <w:sz w:val="21"/>
          <w:szCs w:val="21"/>
        </w:rPr>
        <w:t>国际处网站下载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《西安工程大学学生出国（境）申请表》。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打印填写，签字审核并盖章；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2、同时登录项目选拔管理机构 -- 全美国际教育协会网站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FF"/>
          <w:sz w:val="21"/>
          <w:szCs w:val="21"/>
        </w:rPr>
        <w:instrText xml:space="preserve"> HYPERLINK "http://www.usiea.org" </w:instrText>
      </w:r>
      <w:r>
        <w:rPr>
          <w:rFonts w:hint="eastAsia" w:ascii="宋体" w:hAnsi="宋体" w:eastAsia="宋体" w:cs="宋体"/>
          <w:color w:val="0000FF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FF"/>
          <w:sz w:val="21"/>
          <w:szCs w:val="21"/>
        </w:rPr>
        <w:t>www.usiea.org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，填写《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世界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名校访学2018-2019学年报名表》，网上报名的时间决定录取的顺序；</w:t>
      </w:r>
    </w:p>
    <w:p>
      <w:pPr>
        <w:pStyle w:val="20"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学生申请资料经初步审核后，达到要求者参加面试，确定预录取名单；</w:t>
      </w:r>
    </w:p>
    <w:p>
      <w:pPr>
        <w:pStyle w:val="20"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学生提交正式申请材料并缴纳项目费用，获得学校录取及签证后赴海外学习；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项目申请截止日期：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201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年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月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日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、项目管理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国际合作与交流处 师老师 临潼校区22-8楼414室 电话：62779091，82330567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全美国际教育协会项目负责人：袁老师 电话/微信18192903776 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全美国际教育协会咨询电话: 029-8559 2820（周一至周五 9:00—18:00）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全美国际教育协会官网：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FF"/>
          <w:sz w:val="21"/>
          <w:szCs w:val="21"/>
        </w:rPr>
        <w:instrText xml:space="preserve"> HYPERLINK "http://www.usiea.org" </w:instrText>
      </w:r>
      <w:r>
        <w:rPr>
          <w:rFonts w:hint="eastAsia" w:ascii="宋体" w:hAnsi="宋体" w:eastAsia="宋体" w:cs="宋体"/>
          <w:color w:val="0000FF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</w:rPr>
        <w:t>www.usiea.org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全美国际教育协会官微：全美国际访学微刊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项目咨询邮箱：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FF"/>
          <w:sz w:val="21"/>
          <w:szCs w:val="21"/>
        </w:rPr>
        <w:instrText xml:space="preserve"> HYPERLINK "mailto:visituoft@yeah.net" </w:instrText>
      </w:r>
      <w:r>
        <w:rPr>
          <w:rFonts w:hint="eastAsia" w:ascii="宋体" w:hAnsi="宋体" w:eastAsia="宋体" w:cs="宋体"/>
          <w:color w:val="0000FF"/>
          <w:sz w:val="21"/>
          <w:szCs w:val="21"/>
        </w:rPr>
        <w:fldChar w:fldCharType="separate"/>
      </w:r>
      <w:r>
        <w:rPr>
          <w:rStyle w:val="13"/>
          <w:rFonts w:hint="eastAsia" w:ascii="宋体" w:hAnsi="宋体" w:eastAsia="宋体" w:cs="宋体"/>
          <w:color w:val="0000FF"/>
          <w:kern w:val="0"/>
          <w:sz w:val="21"/>
          <w:szCs w:val="21"/>
        </w:rPr>
        <w:t>visituoft@yeah.net</w:t>
      </w:r>
      <w:r>
        <w:rPr>
          <w:rStyle w:val="13"/>
          <w:rFonts w:hint="eastAsia" w:ascii="宋体" w:hAnsi="宋体" w:eastAsia="宋体" w:cs="宋体"/>
          <w:color w:val="0000FF"/>
          <w:kern w:val="0"/>
          <w:sz w:val="21"/>
          <w:szCs w:val="21"/>
        </w:rPr>
        <w:fldChar w:fldCharType="end"/>
      </w:r>
    </w:p>
    <w:p>
      <w:pPr>
        <w:widowControl/>
        <w:spacing w:line="360" w:lineRule="auto"/>
        <w:jc w:val="left"/>
        <w:rPr>
          <w:rFonts w:cs="Calibri" w:asciiTheme="minorHAnsi" w:hAnsiTheme="minorHAnsi"/>
          <w:kern w:val="0"/>
          <w:sz w:val="22"/>
        </w:rPr>
      </w:pPr>
      <w:bookmarkStart w:id="0" w:name="_GoBack"/>
      <w:bookmarkEnd w:id="0"/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B3169"/>
    <w:multiLevelType w:val="multilevel"/>
    <w:tmpl w:val="461B3169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6B074A81"/>
    <w:multiLevelType w:val="multilevel"/>
    <w:tmpl w:val="6B074A8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C745D2"/>
    <w:multiLevelType w:val="multilevel"/>
    <w:tmpl w:val="6DC745D2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 w:asciiTheme="minorHAnsi" w:hAnsiTheme="minorHAnsi" w:cstheme="minorHAns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804196"/>
    <w:multiLevelType w:val="multilevel"/>
    <w:tmpl w:val="7A804196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5D7"/>
    <w:rsid w:val="0000590A"/>
    <w:rsid w:val="00006712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81E"/>
    <w:rsid w:val="00065242"/>
    <w:rsid w:val="00067D4B"/>
    <w:rsid w:val="0007696E"/>
    <w:rsid w:val="000820F9"/>
    <w:rsid w:val="000840CC"/>
    <w:rsid w:val="0009206E"/>
    <w:rsid w:val="000954F4"/>
    <w:rsid w:val="000A0A86"/>
    <w:rsid w:val="000A2A22"/>
    <w:rsid w:val="000A4030"/>
    <w:rsid w:val="000A5251"/>
    <w:rsid w:val="000A5300"/>
    <w:rsid w:val="000B1A29"/>
    <w:rsid w:val="000B2ADA"/>
    <w:rsid w:val="000C2F7C"/>
    <w:rsid w:val="000C3F5B"/>
    <w:rsid w:val="000C4E56"/>
    <w:rsid w:val="000C5C18"/>
    <w:rsid w:val="000C7850"/>
    <w:rsid w:val="000C7F9A"/>
    <w:rsid w:val="000D3060"/>
    <w:rsid w:val="000D4BC5"/>
    <w:rsid w:val="000E1209"/>
    <w:rsid w:val="000E71FC"/>
    <w:rsid w:val="000E7915"/>
    <w:rsid w:val="000F10F6"/>
    <w:rsid w:val="000F140D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C1E"/>
    <w:rsid w:val="00127FE8"/>
    <w:rsid w:val="00131D30"/>
    <w:rsid w:val="00132354"/>
    <w:rsid w:val="00134011"/>
    <w:rsid w:val="00135F93"/>
    <w:rsid w:val="00137744"/>
    <w:rsid w:val="00143294"/>
    <w:rsid w:val="00146AB9"/>
    <w:rsid w:val="00167799"/>
    <w:rsid w:val="00167C8D"/>
    <w:rsid w:val="00170451"/>
    <w:rsid w:val="001738F0"/>
    <w:rsid w:val="00176F21"/>
    <w:rsid w:val="00182E04"/>
    <w:rsid w:val="001834A2"/>
    <w:rsid w:val="00186190"/>
    <w:rsid w:val="00192C0F"/>
    <w:rsid w:val="001A0C7A"/>
    <w:rsid w:val="001A281F"/>
    <w:rsid w:val="001A6921"/>
    <w:rsid w:val="001A7D56"/>
    <w:rsid w:val="001B1730"/>
    <w:rsid w:val="001C1A51"/>
    <w:rsid w:val="001C6985"/>
    <w:rsid w:val="001D2C48"/>
    <w:rsid w:val="001D4042"/>
    <w:rsid w:val="001D458C"/>
    <w:rsid w:val="001D4EF4"/>
    <w:rsid w:val="001E31D7"/>
    <w:rsid w:val="001E5D98"/>
    <w:rsid w:val="001E6096"/>
    <w:rsid w:val="001F49A8"/>
    <w:rsid w:val="001F5524"/>
    <w:rsid w:val="00201963"/>
    <w:rsid w:val="00202030"/>
    <w:rsid w:val="00203BFF"/>
    <w:rsid w:val="002133F2"/>
    <w:rsid w:val="00213D09"/>
    <w:rsid w:val="0021575D"/>
    <w:rsid w:val="0021711E"/>
    <w:rsid w:val="00220276"/>
    <w:rsid w:val="002202A8"/>
    <w:rsid w:val="00220E2D"/>
    <w:rsid w:val="002211FB"/>
    <w:rsid w:val="0022214B"/>
    <w:rsid w:val="002274D9"/>
    <w:rsid w:val="00230EA2"/>
    <w:rsid w:val="0023347E"/>
    <w:rsid w:val="002441C6"/>
    <w:rsid w:val="0024447C"/>
    <w:rsid w:val="002449A1"/>
    <w:rsid w:val="0024592F"/>
    <w:rsid w:val="00251642"/>
    <w:rsid w:val="00255140"/>
    <w:rsid w:val="00257E0D"/>
    <w:rsid w:val="00261406"/>
    <w:rsid w:val="00261C11"/>
    <w:rsid w:val="00262939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64CC"/>
    <w:rsid w:val="002E7D68"/>
    <w:rsid w:val="002F04E4"/>
    <w:rsid w:val="002F1A53"/>
    <w:rsid w:val="002F3568"/>
    <w:rsid w:val="002F7AB9"/>
    <w:rsid w:val="0030157A"/>
    <w:rsid w:val="00302995"/>
    <w:rsid w:val="00303D3D"/>
    <w:rsid w:val="00314B46"/>
    <w:rsid w:val="0031712B"/>
    <w:rsid w:val="0032092A"/>
    <w:rsid w:val="00321528"/>
    <w:rsid w:val="00321717"/>
    <w:rsid w:val="00321D5F"/>
    <w:rsid w:val="00330E7E"/>
    <w:rsid w:val="00330EF0"/>
    <w:rsid w:val="00333C15"/>
    <w:rsid w:val="00342D9D"/>
    <w:rsid w:val="00342E7E"/>
    <w:rsid w:val="003440CB"/>
    <w:rsid w:val="003504A0"/>
    <w:rsid w:val="00352A1D"/>
    <w:rsid w:val="00353816"/>
    <w:rsid w:val="00361CCF"/>
    <w:rsid w:val="00364A0C"/>
    <w:rsid w:val="003738EA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A6BB9"/>
    <w:rsid w:val="003B4151"/>
    <w:rsid w:val="003B669C"/>
    <w:rsid w:val="003B786E"/>
    <w:rsid w:val="003C6EF7"/>
    <w:rsid w:val="003D092D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E7DA0"/>
    <w:rsid w:val="003F050A"/>
    <w:rsid w:val="003F059B"/>
    <w:rsid w:val="003F50D1"/>
    <w:rsid w:val="003F5F88"/>
    <w:rsid w:val="0041273F"/>
    <w:rsid w:val="0042204E"/>
    <w:rsid w:val="00426325"/>
    <w:rsid w:val="00426B59"/>
    <w:rsid w:val="00427711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72046"/>
    <w:rsid w:val="0048136E"/>
    <w:rsid w:val="00485AD1"/>
    <w:rsid w:val="00486AA5"/>
    <w:rsid w:val="004878DF"/>
    <w:rsid w:val="004932B6"/>
    <w:rsid w:val="004946E0"/>
    <w:rsid w:val="00495E6D"/>
    <w:rsid w:val="004A1602"/>
    <w:rsid w:val="004A51A8"/>
    <w:rsid w:val="004B49EE"/>
    <w:rsid w:val="004B4D89"/>
    <w:rsid w:val="004B516E"/>
    <w:rsid w:val="004C0E26"/>
    <w:rsid w:val="004C343D"/>
    <w:rsid w:val="004C5277"/>
    <w:rsid w:val="004C6632"/>
    <w:rsid w:val="004D04BF"/>
    <w:rsid w:val="004D2423"/>
    <w:rsid w:val="004D3884"/>
    <w:rsid w:val="004D5BBA"/>
    <w:rsid w:val="004E0748"/>
    <w:rsid w:val="004E728E"/>
    <w:rsid w:val="004F0AAB"/>
    <w:rsid w:val="004F23F6"/>
    <w:rsid w:val="004F47B7"/>
    <w:rsid w:val="004F743F"/>
    <w:rsid w:val="004F7C1B"/>
    <w:rsid w:val="00500A8F"/>
    <w:rsid w:val="005043E9"/>
    <w:rsid w:val="005060F9"/>
    <w:rsid w:val="005109DD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5F08"/>
    <w:rsid w:val="00536F45"/>
    <w:rsid w:val="00537EE6"/>
    <w:rsid w:val="005447E3"/>
    <w:rsid w:val="00547E75"/>
    <w:rsid w:val="00550D8A"/>
    <w:rsid w:val="00555016"/>
    <w:rsid w:val="00556212"/>
    <w:rsid w:val="005606AC"/>
    <w:rsid w:val="005669D8"/>
    <w:rsid w:val="0057138A"/>
    <w:rsid w:val="00572B6E"/>
    <w:rsid w:val="00572E88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2C8A"/>
    <w:rsid w:val="00593143"/>
    <w:rsid w:val="00594449"/>
    <w:rsid w:val="00596D1A"/>
    <w:rsid w:val="005A31F5"/>
    <w:rsid w:val="005A65C8"/>
    <w:rsid w:val="005B5D60"/>
    <w:rsid w:val="005B69C2"/>
    <w:rsid w:val="005C27A1"/>
    <w:rsid w:val="005C67D4"/>
    <w:rsid w:val="005C7CC0"/>
    <w:rsid w:val="005D0683"/>
    <w:rsid w:val="005D6F09"/>
    <w:rsid w:val="005E035C"/>
    <w:rsid w:val="005E5A41"/>
    <w:rsid w:val="005E674A"/>
    <w:rsid w:val="005E6E17"/>
    <w:rsid w:val="005F6112"/>
    <w:rsid w:val="00602232"/>
    <w:rsid w:val="0060668A"/>
    <w:rsid w:val="00606AA2"/>
    <w:rsid w:val="00606C4F"/>
    <w:rsid w:val="006107DC"/>
    <w:rsid w:val="0061228A"/>
    <w:rsid w:val="00617A76"/>
    <w:rsid w:val="00621ED0"/>
    <w:rsid w:val="00622238"/>
    <w:rsid w:val="00624BB2"/>
    <w:rsid w:val="006316FD"/>
    <w:rsid w:val="00632329"/>
    <w:rsid w:val="006361BC"/>
    <w:rsid w:val="00636A3C"/>
    <w:rsid w:val="00637AD1"/>
    <w:rsid w:val="00642CD5"/>
    <w:rsid w:val="006452B3"/>
    <w:rsid w:val="00645792"/>
    <w:rsid w:val="00653E4C"/>
    <w:rsid w:val="0066295A"/>
    <w:rsid w:val="00663035"/>
    <w:rsid w:val="00664055"/>
    <w:rsid w:val="00666CF9"/>
    <w:rsid w:val="00667457"/>
    <w:rsid w:val="00667A61"/>
    <w:rsid w:val="00670ED6"/>
    <w:rsid w:val="00673E32"/>
    <w:rsid w:val="006740B4"/>
    <w:rsid w:val="00674734"/>
    <w:rsid w:val="0067541F"/>
    <w:rsid w:val="006858D5"/>
    <w:rsid w:val="00687DBB"/>
    <w:rsid w:val="00696B1C"/>
    <w:rsid w:val="0069732D"/>
    <w:rsid w:val="006A2B5F"/>
    <w:rsid w:val="006A32C4"/>
    <w:rsid w:val="006A72B8"/>
    <w:rsid w:val="006B576E"/>
    <w:rsid w:val="006C1F05"/>
    <w:rsid w:val="006C2070"/>
    <w:rsid w:val="006D5B15"/>
    <w:rsid w:val="006D5C62"/>
    <w:rsid w:val="006D642C"/>
    <w:rsid w:val="006E3A9C"/>
    <w:rsid w:val="006F038D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3607E"/>
    <w:rsid w:val="00736663"/>
    <w:rsid w:val="007423FD"/>
    <w:rsid w:val="0074285A"/>
    <w:rsid w:val="00757990"/>
    <w:rsid w:val="00760C7A"/>
    <w:rsid w:val="007619AD"/>
    <w:rsid w:val="00762330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85C31"/>
    <w:rsid w:val="00793276"/>
    <w:rsid w:val="007A01B4"/>
    <w:rsid w:val="007A03BE"/>
    <w:rsid w:val="007A07E5"/>
    <w:rsid w:val="007A136C"/>
    <w:rsid w:val="007A385D"/>
    <w:rsid w:val="007A3E79"/>
    <w:rsid w:val="007A463F"/>
    <w:rsid w:val="007A7362"/>
    <w:rsid w:val="007B0667"/>
    <w:rsid w:val="007B5A17"/>
    <w:rsid w:val="007B648A"/>
    <w:rsid w:val="007B7729"/>
    <w:rsid w:val="007C2153"/>
    <w:rsid w:val="007C21E0"/>
    <w:rsid w:val="007C66DE"/>
    <w:rsid w:val="007D0768"/>
    <w:rsid w:val="007D224F"/>
    <w:rsid w:val="007D48BF"/>
    <w:rsid w:val="007D62F3"/>
    <w:rsid w:val="007E0C8A"/>
    <w:rsid w:val="007E0E50"/>
    <w:rsid w:val="007E2E7F"/>
    <w:rsid w:val="007E3816"/>
    <w:rsid w:val="007E513A"/>
    <w:rsid w:val="007F5700"/>
    <w:rsid w:val="007F79E2"/>
    <w:rsid w:val="00802548"/>
    <w:rsid w:val="00802957"/>
    <w:rsid w:val="00802B47"/>
    <w:rsid w:val="008062A9"/>
    <w:rsid w:val="00814AA6"/>
    <w:rsid w:val="008153A8"/>
    <w:rsid w:val="008267EE"/>
    <w:rsid w:val="0083050D"/>
    <w:rsid w:val="00832E9B"/>
    <w:rsid w:val="008432ED"/>
    <w:rsid w:val="00843F7D"/>
    <w:rsid w:val="008450F3"/>
    <w:rsid w:val="00855260"/>
    <w:rsid w:val="00860271"/>
    <w:rsid w:val="0086227D"/>
    <w:rsid w:val="00863FEE"/>
    <w:rsid w:val="008653E0"/>
    <w:rsid w:val="008730BB"/>
    <w:rsid w:val="00880B5C"/>
    <w:rsid w:val="00881CA9"/>
    <w:rsid w:val="00883821"/>
    <w:rsid w:val="0088500C"/>
    <w:rsid w:val="0088679A"/>
    <w:rsid w:val="0089014A"/>
    <w:rsid w:val="008902CF"/>
    <w:rsid w:val="008966E9"/>
    <w:rsid w:val="008B188A"/>
    <w:rsid w:val="008B4A3B"/>
    <w:rsid w:val="008B56E5"/>
    <w:rsid w:val="008B6065"/>
    <w:rsid w:val="008C1F77"/>
    <w:rsid w:val="008D1223"/>
    <w:rsid w:val="008D3CFE"/>
    <w:rsid w:val="008D5E6C"/>
    <w:rsid w:val="008D7F16"/>
    <w:rsid w:val="008E08E2"/>
    <w:rsid w:val="008E160B"/>
    <w:rsid w:val="008E4534"/>
    <w:rsid w:val="008E54DB"/>
    <w:rsid w:val="008F1045"/>
    <w:rsid w:val="009018E4"/>
    <w:rsid w:val="00903BED"/>
    <w:rsid w:val="00905613"/>
    <w:rsid w:val="00905BF1"/>
    <w:rsid w:val="009111B0"/>
    <w:rsid w:val="00913572"/>
    <w:rsid w:val="00915EF9"/>
    <w:rsid w:val="009171E7"/>
    <w:rsid w:val="00917A3B"/>
    <w:rsid w:val="0092087F"/>
    <w:rsid w:val="0092377F"/>
    <w:rsid w:val="009308D8"/>
    <w:rsid w:val="00930DF7"/>
    <w:rsid w:val="0093150A"/>
    <w:rsid w:val="00936821"/>
    <w:rsid w:val="00936E5D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76B70"/>
    <w:rsid w:val="00983752"/>
    <w:rsid w:val="00983EF6"/>
    <w:rsid w:val="009927BE"/>
    <w:rsid w:val="00994EDE"/>
    <w:rsid w:val="009959F3"/>
    <w:rsid w:val="00995FFE"/>
    <w:rsid w:val="009A11C1"/>
    <w:rsid w:val="009A27F7"/>
    <w:rsid w:val="009A292D"/>
    <w:rsid w:val="009A43EC"/>
    <w:rsid w:val="009A4CAF"/>
    <w:rsid w:val="009A69B5"/>
    <w:rsid w:val="009B0D73"/>
    <w:rsid w:val="009B3167"/>
    <w:rsid w:val="009B34FA"/>
    <w:rsid w:val="009C020C"/>
    <w:rsid w:val="009C44ED"/>
    <w:rsid w:val="009C5700"/>
    <w:rsid w:val="009C5D67"/>
    <w:rsid w:val="009C5FEE"/>
    <w:rsid w:val="009C6763"/>
    <w:rsid w:val="009C698C"/>
    <w:rsid w:val="009C7A2D"/>
    <w:rsid w:val="009C7CE4"/>
    <w:rsid w:val="009D3516"/>
    <w:rsid w:val="009D72F9"/>
    <w:rsid w:val="009E18AF"/>
    <w:rsid w:val="009E4A3B"/>
    <w:rsid w:val="009E5D88"/>
    <w:rsid w:val="009F0653"/>
    <w:rsid w:val="009F09C7"/>
    <w:rsid w:val="009F70BE"/>
    <w:rsid w:val="009F7FCB"/>
    <w:rsid w:val="00A00B17"/>
    <w:rsid w:val="00A01568"/>
    <w:rsid w:val="00A1042E"/>
    <w:rsid w:val="00A1794D"/>
    <w:rsid w:val="00A207E1"/>
    <w:rsid w:val="00A220C6"/>
    <w:rsid w:val="00A2358C"/>
    <w:rsid w:val="00A2663A"/>
    <w:rsid w:val="00A3092B"/>
    <w:rsid w:val="00A31C85"/>
    <w:rsid w:val="00A32C2E"/>
    <w:rsid w:val="00A33A9E"/>
    <w:rsid w:val="00A374B1"/>
    <w:rsid w:val="00A45DC2"/>
    <w:rsid w:val="00A5260B"/>
    <w:rsid w:val="00A61F62"/>
    <w:rsid w:val="00A623DF"/>
    <w:rsid w:val="00A67B5E"/>
    <w:rsid w:val="00A72E16"/>
    <w:rsid w:val="00A76003"/>
    <w:rsid w:val="00A76D78"/>
    <w:rsid w:val="00A83140"/>
    <w:rsid w:val="00A843DA"/>
    <w:rsid w:val="00A84830"/>
    <w:rsid w:val="00A957A6"/>
    <w:rsid w:val="00A96197"/>
    <w:rsid w:val="00AA2334"/>
    <w:rsid w:val="00AA4DC4"/>
    <w:rsid w:val="00AB05C6"/>
    <w:rsid w:val="00AB3244"/>
    <w:rsid w:val="00AB66D7"/>
    <w:rsid w:val="00AB694F"/>
    <w:rsid w:val="00AC32C6"/>
    <w:rsid w:val="00AD7BA1"/>
    <w:rsid w:val="00AF1933"/>
    <w:rsid w:val="00AF5247"/>
    <w:rsid w:val="00AF78C6"/>
    <w:rsid w:val="00AF7CB4"/>
    <w:rsid w:val="00B00961"/>
    <w:rsid w:val="00B01ADE"/>
    <w:rsid w:val="00B030C6"/>
    <w:rsid w:val="00B06BA6"/>
    <w:rsid w:val="00B12237"/>
    <w:rsid w:val="00B12F3C"/>
    <w:rsid w:val="00B133E0"/>
    <w:rsid w:val="00B22EB0"/>
    <w:rsid w:val="00B24FF7"/>
    <w:rsid w:val="00B2543C"/>
    <w:rsid w:val="00B26192"/>
    <w:rsid w:val="00B262CD"/>
    <w:rsid w:val="00B316D1"/>
    <w:rsid w:val="00B33C5E"/>
    <w:rsid w:val="00B40A66"/>
    <w:rsid w:val="00B41090"/>
    <w:rsid w:val="00B50CF4"/>
    <w:rsid w:val="00B57B39"/>
    <w:rsid w:val="00B60E9C"/>
    <w:rsid w:val="00B6632A"/>
    <w:rsid w:val="00B67C18"/>
    <w:rsid w:val="00B74F9C"/>
    <w:rsid w:val="00B769E3"/>
    <w:rsid w:val="00B801E0"/>
    <w:rsid w:val="00B80489"/>
    <w:rsid w:val="00B83422"/>
    <w:rsid w:val="00B83A68"/>
    <w:rsid w:val="00B841C1"/>
    <w:rsid w:val="00B8765A"/>
    <w:rsid w:val="00B955B3"/>
    <w:rsid w:val="00BA15F6"/>
    <w:rsid w:val="00BB0CAA"/>
    <w:rsid w:val="00BB11A8"/>
    <w:rsid w:val="00BB2026"/>
    <w:rsid w:val="00BC1BD9"/>
    <w:rsid w:val="00BC3B43"/>
    <w:rsid w:val="00BC52DF"/>
    <w:rsid w:val="00BC5535"/>
    <w:rsid w:val="00BD0BB7"/>
    <w:rsid w:val="00BD1289"/>
    <w:rsid w:val="00BD6A1A"/>
    <w:rsid w:val="00BE02A7"/>
    <w:rsid w:val="00BE2788"/>
    <w:rsid w:val="00BE6F4C"/>
    <w:rsid w:val="00BE7E70"/>
    <w:rsid w:val="00BF460C"/>
    <w:rsid w:val="00BF5F9C"/>
    <w:rsid w:val="00C02F99"/>
    <w:rsid w:val="00C03770"/>
    <w:rsid w:val="00C044E9"/>
    <w:rsid w:val="00C05D8E"/>
    <w:rsid w:val="00C06B20"/>
    <w:rsid w:val="00C06CBE"/>
    <w:rsid w:val="00C123C3"/>
    <w:rsid w:val="00C126DF"/>
    <w:rsid w:val="00C15924"/>
    <w:rsid w:val="00C15DBB"/>
    <w:rsid w:val="00C369C9"/>
    <w:rsid w:val="00C444EA"/>
    <w:rsid w:val="00C50DF8"/>
    <w:rsid w:val="00C5114A"/>
    <w:rsid w:val="00C55BB5"/>
    <w:rsid w:val="00C64953"/>
    <w:rsid w:val="00C7192F"/>
    <w:rsid w:val="00C745E3"/>
    <w:rsid w:val="00C75C2E"/>
    <w:rsid w:val="00C766EF"/>
    <w:rsid w:val="00C773FC"/>
    <w:rsid w:val="00C807AA"/>
    <w:rsid w:val="00C80EE6"/>
    <w:rsid w:val="00C817A7"/>
    <w:rsid w:val="00C861B2"/>
    <w:rsid w:val="00C86975"/>
    <w:rsid w:val="00CA2A8B"/>
    <w:rsid w:val="00CA56F2"/>
    <w:rsid w:val="00CA65E9"/>
    <w:rsid w:val="00CB4339"/>
    <w:rsid w:val="00CB49F9"/>
    <w:rsid w:val="00CB6A55"/>
    <w:rsid w:val="00CC06D4"/>
    <w:rsid w:val="00CC1890"/>
    <w:rsid w:val="00CC33CC"/>
    <w:rsid w:val="00CC480B"/>
    <w:rsid w:val="00CC72C5"/>
    <w:rsid w:val="00CC7310"/>
    <w:rsid w:val="00CD332E"/>
    <w:rsid w:val="00CD41C2"/>
    <w:rsid w:val="00CD521B"/>
    <w:rsid w:val="00CE06FC"/>
    <w:rsid w:val="00CE4335"/>
    <w:rsid w:val="00CE665F"/>
    <w:rsid w:val="00CF197E"/>
    <w:rsid w:val="00CF5040"/>
    <w:rsid w:val="00D03331"/>
    <w:rsid w:val="00D073EA"/>
    <w:rsid w:val="00D12776"/>
    <w:rsid w:val="00D12D35"/>
    <w:rsid w:val="00D2092D"/>
    <w:rsid w:val="00D261C5"/>
    <w:rsid w:val="00D31AFE"/>
    <w:rsid w:val="00D332D6"/>
    <w:rsid w:val="00D346FC"/>
    <w:rsid w:val="00D35444"/>
    <w:rsid w:val="00D3691D"/>
    <w:rsid w:val="00D371C4"/>
    <w:rsid w:val="00D41ADE"/>
    <w:rsid w:val="00D471D1"/>
    <w:rsid w:val="00D50E81"/>
    <w:rsid w:val="00D56A55"/>
    <w:rsid w:val="00D60EC2"/>
    <w:rsid w:val="00D634D8"/>
    <w:rsid w:val="00D63C2D"/>
    <w:rsid w:val="00D651FF"/>
    <w:rsid w:val="00D65A32"/>
    <w:rsid w:val="00D71DEB"/>
    <w:rsid w:val="00D73882"/>
    <w:rsid w:val="00D80609"/>
    <w:rsid w:val="00D82BB6"/>
    <w:rsid w:val="00D96CBF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E477C"/>
    <w:rsid w:val="00DE7CB6"/>
    <w:rsid w:val="00DF1C7E"/>
    <w:rsid w:val="00DF269B"/>
    <w:rsid w:val="00DF4AB0"/>
    <w:rsid w:val="00DF66EE"/>
    <w:rsid w:val="00DF6776"/>
    <w:rsid w:val="00E00245"/>
    <w:rsid w:val="00E00371"/>
    <w:rsid w:val="00E07A31"/>
    <w:rsid w:val="00E12CC6"/>
    <w:rsid w:val="00E17346"/>
    <w:rsid w:val="00E21BE2"/>
    <w:rsid w:val="00E22994"/>
    <w:rsid w:val="00E23047"/>
    <w:rsid w:val="00E23270"/>
    <w:rsid w:val="00E309FD"/>
    <w:rsid w:val="00E3545F"/>
    <w:rsid w:val="00E403D4"/>
    <w:rsid w:val="00E40561"/>
    <w:rsid w:val="00E414F9"/>
    <w:rsid w:val="00E50150"/>
    <w:rsid w:val="00E5049F"/>
    <w:rsid w:val="00E504D8"/>
    <w:rsid w:val="00E54B81"/>
    <w:rsid w:val="00E61308"/>
    <w:rsid w:val="00E61E70"/>
    <w:rsid w:val="00E64653"/>
    <w:rsid w:val="00E64D3E"/>
    <w:rsid w:val="00E67E38"/>
    <w:rsid w:val="00E76995"/>
    <w:rsid w:val="00E80E43"/>
    <w:rsid w:val="00E8311C"/>
    <w:rsid w:val="00E879A7"/>
    <w:rsid w:val="00E87A04"/>
    <w:rsid w:val="00E922B4"/>
    <w:rsid w:val="00E94534"/>
    <w:rsid w:val="00E97970"/>
    <w:rsid w:val="00EA4003"/>
    <w:rsid w:val="00EB0151"/>
    <w:rsid w:val="00EB2B49"/>
    <w:rsid w:val="00EB5B3E"/>
    <w:rsid w:val="00EB7ED2"/>
    <w:rsid w:val="00EC0661"/>
    <w:rsid w:val="00EC43C8"/>
    <w:rsid w:val="00ED1806"/>
    <w:rsid w:val="00ED205C"/>
    <w:rsid w:val="00ED36BD"/>
    <w:rsid w:val="00ED3F02"/>
    <w:rsid w:val="00ED457C"/>
    <w:rsid w:val="00EE0709"/>
    <w:rsid w:val="00EE0B92"/>
    <w:rsid w:val="00EE0F0E"/>
    <w:rsid w:val="00EE2860"/>
    <w:rsid w:val="00EE68D2"/>
    <w:rsid w:val="00EE7854"/>
    <w:rsid w:val="00EF14B7"/>
    <w:rsid w:val="00EF44AD"/>
    <w:rsid w:val="00F014F8"/>
    <w:rsid w:val="00F13937"/>
    <w:rsid w:val="00F17267"/>
    <w:rsid w:val="00F22886"/>
    <w:rsid w:val="00F27587"/>
    <w:rsid w:val="00F307F9"/>
    <w:rsid w:val="00F3131F"/>
    <w:rsid w:val="00F32538"/>
    <w:rsid w:val="00F34A00"/>
    <w:rsid w:val="00F34D93"/>
    <w:rsid w:val="00F4389F"/>
    <w:rsid w:val="00F62AEB"/>
    <w:rsid w:val="00F66A6D"/>
    <w:rsid w:val="00F707BD"/>
    <w:rsid w:val="00F72010"/>
    <w:rsid w:val="00F7477C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4E53"/>
    <w:rsid w:val="00F979AC"/>
    <w:rsid w:val="00FA6353"/>
    <w:rsid w:val="00FB32DE"/>
    <w:rsid w:val="00FB3ADA"/>
    <w:rsid w:val="00FB7A50"/>
    <w:rsid w:val="00FC0DF5"/>
    <w:rsid w:val="00FC1BDB"/>
    <w:rsid w:val="00FC44B5"/>
    <w:rsid w:val="00FC6127"/>
    <w:rsid w:val="00FC7A4D"/>
    <w:rsid w:val="00FD08A0"/>
    <w:rsid w:val="00FD1F63"/>
    <w:rsid w:val="00FD2E42"/>
    <w:rsid w:val="00FD4AA6"/>
    <w:rsid w:val="00FE2B9E"/>
    <w:rsid w:val="00FE6123"/>
    <w:rsid w:val="00FE6555"/>
    <w:rsid w:val="00FE6E03"/>
    <w:rsid w:val="00FF51E1"/>
    <w:rsid w:val="00FF5862"/>
    <w:rsid w:val="09053E5E"/>
    <w:rsid w:val="2208585F"/>
    <w:rsid w:val="32DB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2"/>
    <w:qFormat/>
    <w:uiPriority w:val="0"/>
    <w:rPr>
      <w:b/>
      <w:bCs/>
    </w:rPr>
  </w:style>
  <w:style w:type="paragraph" w:styleId="4">
    <w:name w:val="annotation text"/>
    <w:basedOn w:val="1"/>
    <w:link w:val="21"/>
    <w:uiPriority w:val="0"/>
    <w:pPr>
      <w:jc w:val="left"/>
    </w:pPr>
  </w:style>
  <w:style w:type="paragraph" w:styleId="5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qFormat/>
    <w:uiPriority w:val="0"/>
    <w:rPr>
      <w:color w:val="0068B7"/>
      <w:u w:val="none"/>
    </w:rPr>
  </w:style>
  <w:style w:type="character" w:styleId="14">
    <w:name w:val="annotation reference"/>
    <w:basedOn w:val="11"/>
    <w:uiPriority w:val="0"/>
    <w:rPr>
      <w:sz w:val="21"/>
      <w:szCs w:val="21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141"/>
    <w:uiPriority w:val="0"/>
    <w:rPr>
      <w:sz w:val="21"/>
      <w:szCs w:val="21"/>
    </w:rPr>
  </w:style>
  <w:style w:type="character" w:customStyle="1" w:styleId="18">
    <w:name w:val="ztag pre"/>
    <w:basedOn w:val="11"/>
    <w:qFormat/>
    <w:uiPriority w:val="0"/>
  </w:style>
  <w:style w:type="character" w:customStyle="1" w:styleId="19">
    <w:name w:val="已访问的超链接1"/>
    <w:uiPriority w:val="0"/>
    <w:rPr>
      <w:color w:val="800080"/>
      <w:u w:val="single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文字 Char"/>
    <w:basedOn w:val="11"/>
    <w:link w:val="4"/>
    <w:qFormat/>
    <w:uiPriority w:val="0"/>
    <w:rPr>
      <w:kern w:val="2"/>
      <w:sz w:val="21"/>
      <w:szCs w:val="24"/>
    </w:rPr>
  </w:style>
  <w:style w:type="character" w:customStyle="1" w:styleId="22">
    <w:name w:val="批注主题 Char"/>
    <w:basedOn w:val="21"/>
    <w:link w:val="3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1C227C-18EE-497F-839A-FEC7B4E9BF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312</Words>
  <Characters>1785</Characters>
  <Lines>14</Lines>
  <Paragraphs>4</Paragraphs>
  <ScaleCrop>false</ScaleCrop>
  <LinksUpToDate>false</LinksUpToDate>
  <CharactersWithSpaces>2093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2018-04-03T06:28:00Z</dcterms:created>
  <dc:creator>全美国际教育协会</dc:creator>
  <cp:lastModifiedBy>Gabriella</cp:lastModifiedBy>
  <cp:lastPrinted>2011-12-16T08:54:00Z</cp:lastPrinted>
  <dcterms:modified xsi:type="dcterms:W3CDTF">2018-04-12T05:41:05Z</dcterms:modified>
  <dc:title>加州大学河滨分校短期访学项目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